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ind w:left="90"/>
        <w:jc w:val="both"/>
        <w:rPr>
          <w:rFonts w:ascii="Tahoma" w:hAnsi="Tahoma" w:cs="Tahoma"/>
          <w:b/>
          <w:bCs/>
          <w:color w:val="000000"/>
          <w:sz w:val="44"/>
          <w:szCs w:val="44"/>
        </w:rPr>
      </w:pPr>
    </w:p>
    <w:p>
      <w:pPr>
        <w:spacing w:after="0" w:line="480" w:lineRule="auto"/>
        <w:ind w:left="90"/>
        <w:jc w:val="both"/>
        <w:rPr>
          <w:rFonts w:ascii="Tahoma" w:hAnsi="Tahoma" w:cs="Tahoma"/>
          <w:b/>
          <w:bCs/>
          <w:color w:val="000000"/>
          <w:sz w:val="44"/>
          <w:szCs w:val="44"/>
        </w:rPr>
      </w:pPr>
    </w:p>
    <w:p>
      <w:pPr>
        <w:spacing w:after="0" w:line="480" w:lineRule="auto"/>
        <w:ind w:left="90"/>
        <w:jc w:val="both"/>
        <w:rPr>
          <w:rFonts w:ascii="Tahoma" w:hAnsi="Tahoma" w:cs="Tahoma"/>
          <w:b/>
          <w:bCs/>
          <w:color w:val="0070C0"/>
          <w:sz w:val="44"/>
          <w:szCs w:val="44"/>
        </w:rPr>
      </w:pPr>
    </w:p>
    <w:p>
      <w:pPr>
        <w:spacing w:after="0" w:line="480" w:lineRule="auto"/>
        <w:ind w:left="90"/>
        <w:jc w:val="both"/>
        <w:rPr>
          <w:rFonts w:ascii="Tahoma" w:hAnsi="Tahoma" w:cs="Tahoma"/>
          <w:b/>
          <w:bCs/>
          <w:color w:val="0070C0"/>
          <w:sz w:val="44"/>
          <w:szCs w:val="44"/>
        </w:rPr>
      </w:pPr>
    </w:p>
    <w:p>
      <w:pPr>
        <w:spacing w:after="0" w:line="480" w:lineRule="auto"/>
        <w:ind w:left="90"/>
        <w:jc w:val="both"/>
        <w:rPr>
          <w:rFonts w:ascii="Tahoma" w:hAnsi="Tahoma" w:cs="Tahoma"/>
          <w:b/>
          <w:bCs/>
          <w:color w:val="0070C0"/>
          <w:sz w:val="44"/>
          <w:szCs w:val="44"/>
        </w:rPr>
      </w:pPr>
      <w:r>
        <w:rPr>
          <w:rFonts w:ascii="Tahoma" w:hAnsi="Tahoma" w:cs="Tahoma"/>
          <w:b/>
          <w:bCs/>
          <w:color w:val="0070C0"/>
          <w:sz w:val="44"/>
          <w:szCs w:val="44"/>
        </w:rPr>
        <w:t>The Janata Sahakari Bank Ltd., Satara.</w:t>
      </w: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 xml:space="preserve">Request for Proposal for Conducting </w:t>
      </w:r>
    </w:p>
    <w:p>
      <w:pPr>
        <w:spacing w:after="0" w:line="480" w:lineRule="auto"/>
        <w:ind w:left="90"/>
        <w:jc w:val="both"/>
        <w:rPr>
          <w:rFonts w:hint="default" w:ascii="Tahoma" w:hAnsi="Tahoma" w:cs="Tahoma"/>
          <w:b/>
          <w:bCs/>
          <w:color w:val="000000"/>
          <w:sz w:val="36"/>
          <w:szCs w:val="36"/>
          <w:lang w:val="en-US"/>
        </w:rPr>
      </w:pPr>
      <w:r>
        <w:rPr>
          <w:rFonts w:hint="default" w:ascii="Tahoma" w:hAnsi="Tahoma" w:cs="Tahoma"/>
          <w:b/>
          <w:bCs/>
          <w:color w:val="000000"/>
          <w:sz w:val="36"/>
          <w:szCs w:val="36"/>
          <w:lang w:val="en-US"/>
        </w:rPr>
        <w:t>Vulnerability Assessment and Penetration Testing (VA &amp; PT)</w:t>
      </w:r>
      <w:r>
        <w:rPr>
          <w:rFonts w:ascii="Tahoma" w:hAnsi="Tahoma" w:cs="Tahoma"/>
          <w:b/>
          <w:bCs/>
          <w:color w:val="000000"/>
          <w:sz w:val="36"/>
          <w:szCs w:val="36"/>
        </w:rPr>
        <w:t xml:space="preserve"> Audit</w:t>
      </w:r>
      <w:r>
        <w:rPr>
          <w:rFonts w:hint="default" w:ascii="Tahoma" w:hAnsi="Tahoma" w:cs="Tahoma"/>
          <w:b/>
          <w:bCs/>
          <w:color w:val="000000"/>
          <w:sz w:val="36"/>
          <w:szCs w:val="36"/>
          <w:lang w:val="en-US"/>
        </w:rPr>
        <w:t>.</w:t>
      </w:r>
    </w:p>
    <w:p>
      <w:pPr>
        <w:spacing w:after="0" w:line="480" w:lineRule="auto"/>
        <w:ind w:left="90"/>
        <w:jc w:val="both"/>
        <w:rPr>
          <w:rFonts w:ascii="Tahoma" w:hAnsi="Tahoma" w:cs="Tahoma"/>
          <w:b/>
          <w:bCs/>
          <w:color w:val="000000"/>
          <w:sz w:val="36"/>
          <w:szCs w:val="36"/>
        </w:rPr>
      </w:pP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RFP No:</w:t>
      </w: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 xml:space="preserve">Date: </w:t>
      </w:r>
    </w:p>
    <w:p>
      <w:pPr>
        <w:spacing w:after="0" w:line="480" w:lineRule="auto"/>
        <w:ind w:left="90"/>
        <w:jc w:val="both"/>
        <w:rPr>
          <w:rFonts w:ascii="Tahoma" w:hAnsi="Tahoma" w:cs="Tahoma"/>
          <w:b/>
          <w:bCs/>
          <w:color w:val="000000"/>
          <w:sz w:val="23"/>
          <w:szCs w:val="23"/>
        </w:rPr>
      </w:pPr>
      <w:r>
        <w:rPr>
          <w:rFonts w:ascii="Tahoma" w:hAnsi="Tahoma" w:cs="Tahoma"/>
          <w:b/>
          <w:bCs/>
          <w:color w:val="000000"/>
          <w:sz w:val="23"/>
          <w:szCs w:val="23"/>
        </w:rPr>
        <w:br w:type="page"/>
      </w:r>
    </w:p>
    <w:p>
      <w:pPr>
        <w:rPr>
          <w:rFonts w:ascii="Tahoma" w:hAnsi="Tahoma" w:cs="Tahoma"/>
          <w:b/>
          <w:bCs/>
          <w:color w:val="000000"/>
          <w:sz w:val="23"/>
          <w:szCs w:val="23"/>
        </w:rPr>
      </w:pPr>
      <w:r>
        <w:rPr>
          <w:rFonts w:ascii="Tahoma" w:hAnsi="Tahoma" w:cs="Tahoma"/>
          <w:b/>
          <w:bCs/>
          <w:color w:val="000000"/>
          <w:sz w:val="23"/>
          <w:szCs w:val="23"/>
        </w:rPr>
        <w:t xml:space="preserve">Request for Proposal for conducting </w:t>
      </w:r>
      <w:r>
        <w:rPr>
          <w:rFonts w:hint="default" w:ascii="Tahoma" w:hAnsi="Tahoma" w:cs="Tahoma"/>
          <w:b/>
          <w:bCs/>
          <w:color w:val="000000"/>
          <w:sz w:val="23"/>
          <w:szCs w:val="23"/>
          <w:lang w:val="en-US"/>
        </w:rPr>
        <w:t>VA &amp; PT</w:t>
      </w:r>
      <w:r>
        <w:rPr>
          <w:rFonts w:ascii="Tahoma" w:hAnsi="Tahoma" w:cs="Tahoma"/>
          <w:b/>
          <w:bCs/>
          <w:color w:val="000000"/>
          <w:sz w:val="23"/>
          <w:szCs w:val="23"/>
        </w:rPr>
        <w:t xml:space="preserve"> Audit.</w:t>
      </w:r>
    </w:p>
    <w:p>
      <w:pPr>
        <w:rPr>
          <w:rFonts w:ascii="Tahoma" w:hAnsi="Tahoma" w:cs="Tahoma"/>
          <w:color w:val="000000"/>
          <w:sz w:val="23"/>
          <w:szCs w:val="23"/>
        </w:rPr>
      </w:pPr>
      <w:r>
        <w:rPr>
          <w:rFonts w:hint="default" w:ascii="Tahoma" w:hAnsi="Tahoma" w:cs="Tahoma"/>
          <w:color w:val="000000"/>
          <w:sz w:val="23"/>
          <w:szCs w:val="23"/>
          <w:lang w:val="en-US"/>
        </w:rPr>
        <w:t>VA &amp; PT of bank’s website, critical IT Infrastructure Components and Recommendations.</w:t>
      </w:r>
      <w:r>
        <w:rPr>
          <w:rFonts w:ascii="Tahoma" w:hAnsi="Tahoma" w:cs="Tahoma"/>
          <w:color w:val="000000"/>
          <w:sz w:val="23"/>
          <w:szCs w:val="23"/>
        </w:rPr>
        <w:t xml:space="preserve">In this regard, we intend to invite tenders for conducting </w:t>
      </w:r>
      <w:r>
        <w:rPr>
          <w:rFonts w:hint="default" w:ascii="Tahoma" w:hAnsi="Tahoma" w:cs="Tahoma"/>
          <w:color w:val="000000"/>
          <w:sz w:val="23"/>
          <w:szCs w:val="23"/>
          <w:lang w:val="en-US"/>
        </w:rPr>
        <w:t>VA &amp; PT</w:t>
      </w:r>
      <w:r>
        <w:rPr>
          <w:rFonts w:ascii="Tahoma" w:hAnsi="Tahoma" w:cs="Tahoma"/>
          <w:color w:val="000000"/>
          <w:sz w:val="23"/>
          <w:szCs w:val="23"/>
        </w:rPr>
        <w:t xml:space="preserve"> Audit.</w:t>
      </w:r>
    </w:p>
    <w:p>
      <w:bookmarkStart w:id="0" w:name="_Toc58702918"/>
      <w:r>
        <w:t>Schedule of Events</w:t>
      </w:r>
      <w:bookmarkEnd w:id="0"/>
    </w:p>
    <w:p>
      <w:pPr>
        <w:rPr>
          <w:rFonts w:ascii="Tahoma" w:hAnsi="Tahoma" w:cs="Tahoma"/>
          <w:color w:val="000000"/>
          <w:sz w:val="23"/>
          <w:szCs w:val="23"/>
        </w:rPr>
      </w:pPr>
    </w:p>
    <w:tbl>
      <w:tblPr>
        <w:tblStyle w:val="9"/>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4632"/>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tcPr>
          <w:p>
            <w:pPr>
              <w:rPr>
                <w:rFonts w:ascii="Tahoma" w:hAnsi="Tahoma" w:cs="Tahoma"/>
                <w:b/>
                <w:bCs/>
                <w:color w:val="000000"/>
                <w:sz w:val="23"/>
                <w:szCs w:val="23"/>
              </w:rPr>
            </w:pPr>
            <w:r>
              <w:rPr>
                <w:rFonts w:ascii="Tahoma" w:hAnsi="Tahoma" w:cs="Tahoma"/>
                <w:b/>
                <w:bCs/>
                <w:color w:val="000000"/>
                <w:sz w:val="23"/>
                <w:szCs w:val="23"/>
              </w:rPr>
              <w:t>Sr.No.</w:t>
            </w:r>
          </w:p>
        </w:tc>
        <w:tc>
          <w:tcPr>
            <w:tcW w:w="4632" w:type="dxa"/>
          </w:tcPr>
          <w:p>
            <w:pPr>
              <w:rPr>
                <w:rFonts w:ascii="Tahoma" w:hAnsi="Tahoma" w:cs="Tahoma"/>
                <w:b/>
                <w:bCs/>
                <w:color w:val="000000"/>
                <w:sz w:val="23"/>
                <w:szCs w:val="23"/>
              </w:rPr>
            </w:pPr>
            <w:r>
              <w:rPr>
                <w:rFonts w:ascii="Tahoma" w:hAnsi="Tahoma" w:cs="Tahoma"/>
                <w:b/>
                <w:bCs/>
                <w:color w:val="000000"/>
                <w:sz w:val="23"/>
                <w:szCs w:val="23"/>
              </w:rPr>
              <w:t xml:space="preserve">Particulars </w:t>
            </w:r>
          </w:p>
        </w:tc>
        <w:tc>
          <w:tcPr>
            <w:tcW w:w="4140" w:type="dxa"/>
          </w:tcPr>
          <w:p>
            <w:pPr>
              <w:rPr>
                <w:rFonts w:ascii="Tahoma" w:hAnsi="Tahoma" w:cs="Tahoma"/>
                <w:b/>
                <w:bCs/>
                <w:color w:val="000000"/>
                <w:sz w:val="23"/>
                <w:szCs w:val="23"/>
              </w:rPr>
            </w:pPr>
            <w:r>
              <w:rPr>
                <w:rFonts w:ascii="Tahoma" w:hAnsi="Tahoma" w:cs="Tahoma"/>
                <w:b/>
                <w:bCs/>
                <w:color w:val="000000"/>
                <w:sz w:val="23"/>
                <w:szCs w:val="23"/>
              </w:rPr>
              <w:t>Remarks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tcPr>
          <w:p>
            <w:pPr>
              <w:rPr>
                <w:rFonts w:ascii="Tahoma" w:hAnsi="Tahoma" w:cs="Tahoma"/>
                <w:color w:val="000000"/>
                <w:sz w:val="23"/>
                <w:szCs w:val="23"/>
              </w:rPr>
            </w:pPr>
            <w:r>
              <w:rPr>
                <w:rFonts w:ascii="Tahoma" w:hAnsi="Tahoma" w:cs="Tahoma"/>
                <w:color w:val="000000"/>
                <w:sz w:val="23"/>
                <w:szCs w:val="23"/>
              </w:rPr>
              <w:t>1</w:t>
            </w:r>
          </w:p>
        </w:tc>
        <w:tc>
          <w:tcPr>
            <w:tcW w:w="4632" w:type="dxa"/>
          </w:tcPr>
          <w:p>
            <w:pPr>
              <w:pStyle w:val="13"/>
              <w:rPr>
                <w:sz w:val="23"/>
                <w:szCs w:val="23"/>
                <w:lang w:val="en-IN" w:bidi="ar-SA"/>
              </w:rPr>
            </w:pPr>
            <w:r>
              <w:rPr>
                <w:sz w:val="23"/>
                <w:szCs w:val="23"/>
                <w:lang w:val="en-IN" w:bidi="ar-SA"/>
              </w:rPr>
              <w:t xml:space="preserve">Contact details of issuing department </w:t>
            </w:r>
          </w:p>
          <w:p>
            <w:pPr>
              <w:rPr>
                <w:rFonts w:ascii="Tahoma" w:hAnsi="Tahoma" w:cs="Tahoma"/>
                <w:color w:val="000000"/>
                <w:sz w:val="23"/>
                <w:szCs w:val="23"/>
              </w:rPr>
            </w:pPr>
            <w:r>
              <w:rPr>
                <w:rFonts w:ascii="Tahoma" w:hAnsi="Tahoma" w:cs="Tahoma"/>
                <w:color w:val="000000"/>
                <w:sz w:val="23"/>
                <w:szCs w:val="23"/>
              </w:rPr>
              <w:t xml:space="preserve">(Name, Designation, Mobile No., Email address for sending any kind of correspondence regarding this RFP) </w:t>
            </w:r>
          </w:p>
        </w:tc>
        <w:tc>
          <w:tcPr>
            <w:tcW w:w="4140" w:type="dxa"/>
          </w:tcPr>
          <w:p>
            <w:pPr>
              <w:jc w:val="center"/>
              <w:rPr>
                <w:rFonts w:hint="default" w:ascii="Tahoma" w:hAnsi="Tahoma" w:cs="Mangal"/>
                <w:color w:val="000000"/>
                <w:sz w:val="23"/>
                <w:szCs w:val="23"/>
                <w:lang w:val="en-US" w:bidi="mr-IN"/>
              </w:rPr>
            </w:pPr>
            <w:r>
              <w:rPr>
                <w:rFonts w:hint="default" w:ascii="Tahoma" w:hAnsi="Tahoma" w:cs="Mangal"/>
                <w:color w:val="000000"/>
                <w:sz w:val="23"/>
                <w:szCs w:val="23"/>
                <w:lang w:val="en-US" w:bidi="mr-IN"/>
              </w:rPr>
              <w:t>Sanjay Bhaskar Taware</w:t>
            </w:r>
          </w:p>
          <w:p>
            <w:pPr>
              <w:jc w:val="center"/>
              <w:rPr>
                <w:rFonts w:hint="default" w:ascii="Tahoma" w:hAnsi="Tahoma" w:cs="Mangal"/>
                <w:color w:val="000000"/>
                <w:sz w:val="23"/>
                <w:szCs w:val="23"/>
                <w:lang w:val="en-US" w:bidi="mr-IN"/>
              </w:rPr>
            </w:pPr>
            <w:r>
              <w:rPr>
                <w:rFonts w:hint="default" w:ascii="Tahoma" w:hAnsi="Tahoma" w:cs="Mangal"/>
                <w:color w:val="000000"/>
                <w:sz w:val="23"/>
                <w:szCs w:val="23"/>
                <w:lang w:val="en-US" w:bidi="mr-IN"/>
              </w:rPr>
              <w:t xml:space="preserve">Manager-A/C &amp; Data Center </w:t>
            </w:r>
            <w:r>
              <w:rPr>
                <w:rFonts w:ascii="Tahoma" w:hAnsi="Tahoma" w:cs="Mangal"/>
                <w:color w:val="000000"/>
                <w:sz w:val="23"/>
                <w:szCs w:val="23"/>
                <w:lang w:val="en-US" w:bidi="mr-IN"/>
              </w:rPr>
              <w:t xml:space="preserve">       Mob-</w:t>
            </w:r>
            <w:r>
              <w:rPr>
                <w:rFonts w:hint="default" w:ascii="Tahoma" w:hAnsi="Tahoma" w:cs="Mangal"/>
                <w:color w:val="000000"/>
                <w:sz w:val="23"/>
                <w:szCs w:val="23"/>
                <w:lang w:val="en-US" w:bidi="mr-IN"/>
              </w:rPr>
              <w:t>9423136097</w:t>
            </w:r>
          </w:p>
          <w:p>
            <w:pPr>
              <w:jc w:val="center"/>
              <w:rPr>
                <w:rFonts w:hint="default" w:ascii="Tahoma" w:hAnsi="Tahoma" w:cs="Mangal"/>
                <w:color w:val="000000"/>
                <w:sz w:val="23"/>
                <w:szCs w:val="23"/>
                <w:lang w:val="en-US" w:bidi="mr-IN"/>
              </w:rPr>
            </w:pPr>
            <w:r>
              <w:rPr>
                <w:rFonts w:ascii="Tahoma" w:hAnsi="Tahoma" w:cs="Mangal"/>
                <w:color w:val="000000"/>
                <w:sz w:val="23"/>
                <w:szCs w:val="23"/>
                <w:lang w:val="en-US" w:bidi="mr-IN"/>
              </w:rPr>
              <w:t>Email-</w:t>
            </w:r>
            <w:r>
              <w:rPr>
                <w:rFonts w:hint="default" w:ascii="Tahoma" w:hAnsi="Tahoma" w:cs="Mangal"/>
                <w:color w:val="000000"/>
                <w:sz w:val="23"/>
                <w:szCs w:val="23"/>
                <w:lang w:val="en-US" w:bidi="mr-IN"/>
              </w:rPr>
              <w:t>manager04datacenter@jsbsatara.com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056" w:type="dxa"/>
          </w:tcPr>
          <w:p>
            <w:pPr>
              <w:rPr>
                <w:rFonts w:ascii="Tahoma" w:hAnsi="Tahoma" w:cs="Tahoma"/>
                <w:sz w:val="23"/>
                <w:szCs w:val="23"/>
              </w:rPr>
            </w:pPr>
            <w:r>
              <w:rPr>
                <w:rFonts w:ascii="Tahoma" w:hAnsi="Tahoma" w:cs="Tahoma"/>
                <w:sz w:val="23"/>
                <w:szCs w:val="23"/>
              </w:rPr>
              <w:t>2</w:t>
            </w:r>
          </w:p>
        </w:tc>
        <w:tc>
          <w:tcPr>
            <w:tcW w:w="4632" w:type="dxa"/>
          </w:tcPr>
          <w:p>
            <w:pPr>
              <w:pStyle w:val="13"/>
              <w:rPr>
                <w:sz w:val="23"/>
                <w:szCs w:val="23"/>
                <w:lang w:val="en-IN" w:bidi="ar-SA"/>
              </w:rPr>
            </w:pPr>
            <w:r>
              <w:rPr>
                <w:sz w:val="23"/>
                <w:szCs w:val="23"/>
                <w:lang w:val="en-IN" w:bidi="ar-SA"/>
              </w:rPr>
              <w:t xml:space="preserve">Last date and time for Bid submission </w:t>
            </w:r>
          </w:p>
          <w:p>
            <w:pPr>
              <w:pStyle w:val="13"/>
              <w:rPr>
                <w:sz w:val="23"/>
                <w:szCs w:val="23"/>
                <w:lang w:val="en-IN" w:bidi="ar-SA"/>
              </w:rPr>
            </w:pPr>
          </w:p>
        </w:tc>
        <w:tc>
          <w:tcPr>
            <w:tcW w:w="4140" w:type="dxa"/>
          </w:tcPr>
          <w:p>
            <w:pPr>
              <w:jc w:val="center"/>
              <w:rPr>
                <w:rFonts w:hint="default" w:ascii="Tahoma" w:hAnsi="Tahoma" w:cs="Tahoma"/>
                <w:sz w:val="23"/>
                <w:szCs w:val="23"/>
                <w:lang w:val="en-US"/>
              </w:rPr>
            </w:pPr>
            <w:r>
              <w:rPr>
                <w:rFonts w:hint="default" w:ascii="Tahoma" w:hAnsi="Tahoma" w:cs="Tahoma"/>
                <w:sz w:val="23"/>
                <w:szCs w:val="23"/>
                <w:lang w:val="en-US"/>
              </w:rPr>
              <w:t>Dt.22/09/2021 till 5:30 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056" w:type="dxa"/>
          </w:tcPr>
          <w:p>
            <w:pPr>
              <w:rPr>
                <w:rFonts w:ascii="Tahoma" w:hAnsi="Tahoma" w:cs="Tahoma"/>
                <w:sz w:val="23"/>
                <w:szCs w:val="23"/>
              </w:rPr>
            </w:pPr>
            <w:r>
              <w:rPr>
                <w:rFonts w:ascii="Tahoma" w:hAnsi="Tahoma" w:cs="Tahoma"/>
                <w:sz w:val="23"/>
                <w:szCs w:val="23"/>
              </w:rPr>
              <w:t>3</w:t>
            </w:r>
          </w:p>
        </w:tc>
        <w:tc>
          <w:tcPr>
            <w:tcW w:w="4632" w:type="dxa"/>
          </w:tcPr>
          <w:p>
            <w:pPr>
              <w:pStyle w:val="13"/>
              <w:rPr>
                <w:sz w:val="23"/>
                <w:szCs w:val="23"/>
                <w:lang w:val="en-IN"/>
              </w:rPr>
            </w:pPr>
            <w:r>
              <w:rPr>
                <w:sz w:val="23"/>
                <w:szCs w:val="23"/>
                <w:lang w:val="en-IN" w:bidi="ar-SA"/>
              </w:rPr>
              <w:t xml:space="preserve">Address for submission of </w:t>
            </w:r>
            <w:r>
              <w:rPr>
                <w:sz w:val="23"/>
                <w:szCs w:val="23"/>
                <w:cs/>
                <w:lang w:val="en-IN"/>
              </w:rPr>
              <w:t>Bid</w:t>
            </w:r>
          </w:p>
          <w:p>
            <w:pPr>
              <w:pStyle w:val="13"/>
              <w:rPr>
                <w:rFonts w:hint="default"/>
                <w:sz w:val="23"/>
                <w:szCs w:val="23"/>
                <w:lang w:val="en-US" w:bidi="ar-SA"/>
              </w:rPr>
            </w:pPr>
            <w:r>
              <w:rPr>
                <w:rFonts w:hint="default"/>
                <w:sz w:val="23"/>
                <w:szCs w:val="23"/>
                <w:lang w:val="en-US" w:bidi="ar-SA"/>
              </w:rPr>
              <w:t>&amp; Email Id for Submission</w:t>
            </w:r>
          </w:p>
        </w:tc>
        <w:tc>
          <w:tcPr>
            <w:tcW w:w="4140" w:type="dxa"/>
          </w:tcPr>
          <w:p>
            <w:pPr>
              <w:rPr>
                <w:rFonts w:ascii="Tahoma" w:hAnsi="Tahoma"/>
                <w:sz w:val="23"/>
                <w:szCs w:val="23"/>
                <w:lang w:val="en-US" w:bidi="mr-IN"/>
              </w:rPr>
            </w:pPr>
            <w:r>
              <w:rPr>
                <w:rFonts w:ascii="Tahoma" w:hAnsi="Tahoma"/>
                <w:sz w:val="23"/>
                <w:szCs w:val="23"/>
                <w:lang w:val="en-US" w:bidi="mr-IN"/>
              </w:rPr>
              <w:t xml:space="preserve">JANATA SAHAKARI BANK LTD SATARA </w:t>
            </w:r>
            <w:bookmarkStart w:id="12" w:name="_GoBack"/>
            <w:bookmarkEnd w:id="12"/>
          </w:p>
          <w:p>
            <w:pPr>
              <w:rPr>
                <w:rFonts w:ascii="Tahoma" w:hAnsi="Tahoma"/>
                <w:sz w:val="23"/>
                <w:szCs w:val="23"/>
                <w:lang w:val="en-US" w:bidi="mr-IN"/>
              </w:rPr>
            </w:pPr>
            <w:r>
              <w:rPr>
                <w:rFonts w:ascii="Tahoma" w:hAnsi="Tahoma"/>
                <w:sz w:val="23"/>
                <w:szCs w:val="23"/>
                <w:lang w:val="en-US" w:bidi="mr-IN"/>
              </w:rPr>
              <w:t>179,Bhavani Peth,opp city post satara.</w:t>
            </w:r>
          </w:p>
          <w:p>
            <w:pPr>
              <w:rPr>
                <w:rFonts w:ascii="Tahoma" w:hAnsi="Tahoma"/>
                <w:sz w:val="23"/>
                <w:szCs w:val="23"/>
                <w:lang w:val="en-US" w:bidi="mr-IN"/>
              </w:rPr>
            </w:pPr>
            <w:r>
              <w:rPr>
                <w:rFonts w:ascii="Tahoma" w:hAnsi="Tahoma" w:cs="Mangal"/>
                <w:color w:val="000000"/>
                <w:sz w:val="23"/>
                <w:szCs w:val="23"/>
                <w:lang w:val="en-US" w:bidi="mr-IN"/>
              </w:rPr>
              <w:t>Email-</w:t>
            </w:r>
            <w:r>
              <w:rPr>
                <w:rFonts w:hint="default" w:ascii="Tahoma" w:hAnsi="Tahoma" w:cs="Mangal"/>
                <w:color w:val="000000"/>
                <w:sz w:val="23"/>
                <w:szCs w:val="23"/>
                <w:lang w:val="en-US" w:bidi="mr-IN"/>
              </w:rPr>
              <w:t>manager04datacenter@jsbsatara.com</w:t>
            </w:r>
          </w:p>
        </w:tc>
      </w:tr>
    </w:tbl>
    <w:p>
      <w:pPr>
        <w:rPr>
          <w:rFonts w:ascii="Tahoma" w:hAnsi="Tahoma" w:cs="Tahoma"/>
          <w:sz w:val="23"/>
          <w:szCs w:val="23"/>
          <w:lang w:bidi="mr-IN"/>
        </w:rPr>
      </w:pPr>
    </w:p>
    <w:p>
      <w:pPr>
        <w:pStyle w:val="13"/>
        <w:jc w:val="center"/>
        <w:rPr>
          <w:b/>
          <w:bCs/>
          <w:sz w:val="23"/>
          <w:szCs w:val="23"/>
          <w:lang w:val="en-IN" w:bidi="ar-SA"/>
        </w:rPr>
      </w:pPr>
      <w:r>
        <w:rPr>
          <w:b/>
          <w:bCs/>
          <w:sz w:val="23"/>
          <w:szCs w:val="23"/>
          <w:lang w:val="en-IN" w:bidi="ar-SA"/>
        </w:rPr>
        <w:t>Notice Inviting e-Tender</w:t>
      </w:r>
    </w:p>
    <w:p>
      <w:pPr>
        <w:pStyle w:val="13"/>
        <w:jc w:val="center"/>
        <w:rPr>
          <w:b/>
          <w:bCs/>
          <w:sz w:val="23"/>
          <w:szCs w:val="23"/>
        </w:rPr>
      </w:pPr>
      <w:r>
        <w:rPr>
          <w:b/>
          <w:bCs/>
          <w:sz w:val="23"/>
          <w:szCs w:val="23"/>
          <w:lang w:val="en-IN" w:bidi="ar-SA"/>
        </w:rPr>
        <w:t xml:space="preserve">RFP for </w:t>
      </w:r>
      <w:r>
        <w:rPr>
          <w:b/>
          <w:bCs/>
          <w:sz w:val="23"/>
          <w:szCs w:val="23"/>
        </w:rPr>
        <w:t xml:space="preserve">Conducting </w:t>
      </w:r>
      <w:r>
        <w:rPr>
          <w:rFonts w:hint="default"/>
          <w:b/>
          <w:bCs/>
          <w:sz w:val="23"/>
          <w:szCs w:val="23"/>
          <w:lang w:val="en-US"/>
        </w:rPr>
        <w:t>VA &amp; PT</w:t>
      </w:r>
      <w:r>
        <w:rPr>
          <w:b/>
          <w:bCs/>
          <w:sz w:val="23"/>
          <w:szCs w:val="23"/>
        </w:rPr>
        <w:t xml:space="preserve"> Audit</w:t>
      </w:r>
    </w:p>
    <w:p>
      <w:pPr>
        <w:pStyle w:val="13"/>
        <w:jc w:val="center"/>
        <w:rPr>
          <w:b/>
          <w:bCs/>
          <w:sz w:val="23"/>
          <w:szCs w:val="23"/>
        </w:rPr>
      </w:pPr>
    </w:p>
    <w:p>
      <w:pPr>
        <w:pStyle w:val="13"/>
        <w:rPr>
          <w:sz w:val="23"/>
          <w:szCs w:val="23"/>
          <w:lang w:val="en-IN" w:bidi="ar-SA"/>
        </w:rPr>
      </w:pPr>
      <w:r>
        <w:rPr>
          <w:sz w:val="23"/>
          <w:szCs w:val="23"/>
          <w:lang w:val="en-IN" w:bidi="ar-SA"/>
        </w:rPr>
        <w:t xml:space="preserve">The Janata Sahakari Bank Ltd., Satara, having its Head Office at </w:t>
      </w:r>
      <w:r>
        <w:rPr>
          <w:sz w:val="23"/>
          <w:szCs w:val="23"/>
          <w:cs/>
          <w:lang w:val="en-IN"/>
        </w:rPr>
        <w:t>(</w:t>
      </w:r>
      <w:r>
        <w:rPr>
          <w:rFonts w:cstheme="minorBidi"/>
          <w:sz w:val="23"/>
          <w:szCs w:val="23"/>
        </w:rPr>
        <w:t>179,Bhavani Peth,Opp.City Post,Satara.</w:t>
      </w:r>
      <w:r>
        <w:rPr>
          <w:sz w:val="23"/>
          <w:szCs w:val="23"/>
          <w:cs/>
          <w:lang w:val="en-IN"/>
        </w:rPr>
        <w:t xml:space="preserve">) </w:t>
      </w:r>
      <w:r>
        <w:rPr>
          <w:sz w:val="23"/>
          <w:szCs w:val="23"/>
          <w:lang w:val="en-IN" w:bidi="ar-SA"/>
        </w:rPr>
        <w:t xml:space="preserve">invite </w:t>
      </w:r>
      <w:r>
        <w:rPr>
          <w:sz w:val="23"/>
          <w:szCs w:val="23"/>
          <w:cs/>
          <w:lang w:val="en-IN"/>
        </w:rPr>
        <w:t>one</w:t>
      </w:r>
      <w:r>
        <w:rPr>
          <w:sz w:val="23"/>
          <w:szCs w:val="23"/>
          <w:lang w:val="en-IN" w:bidi="ar-SA"/>
        </w:rPr>
        <w:t xml:space="preserve"> bid </w:t>
      </w:r>
      <w:r>
        <w:rPr>
          <w:b/>
          <w:bCs/>
          <w:sz w:val="23"/>
          <w:szCs w:val="23"/>
          <w:u w:val="single"/>
          <w:lang w:val="en-IN" w:bidi="ar-SA"/>
        </w:rPr>
        <w:t>online tenders</w:t>
      </w:r>
      <w:r>
        <w:rPr>
          <w:sz w:val="23"/>
          <w:szCs w:val="23"/>
          <w:lang w:val="en-IN" w:bidi="ar-SA"/>
        </w:rPr>
        <w:t xml:space="preserve"> for selection of vendors for conducting of</w:t>
      </w:r>
      <w:r>
        <w:rPr>
          <w:rFonts w:hint="default"/>
          <w:sz w:val="23"/>
          <w:szCs w:val="23"/>
          <w:lang w:val="en-US" w:bidi="ar-SA"/>
        </w:rPr>
        <w:t xml:space="preserve"> VAPT </w:t>
      </w:r>
      <w:r>
        <w:rPr>
          <w:sz w:val="23"/>
          <w:szCs w:val="23"/>
          <w:lang w:val="en-IN" w:bidi="ar-SA"/>
        </w:rPr>
        <w:t>Audit.</w:t>
      </w:r>
    </w:p>
    <w:p>
      <w:pPr>
        <w:pStyle w:val="13"/>
        <w:jc w:val="center"/>
        <w:rPr>
          <w:b/>
          <w:bCs/>
          <w:sz w:val="23"/>
          <w:szCs w:val="23"/>
        </w:rPr>
      </w:pPr>
      <w:r>
        <w:rPr>
          <w:b/>
          <w:bCs/>
          <w:sz w:val="23"/>
          <w:szCs w:val="23"/>
        </w:rPr>
        <w:t>Basic Details</w:t>
      </w:r>
    </w:p>
    <w:tbl>
      <w:tblPr>
        <w:tblStyle w:val="9"/>
        <w:tblW w:w="96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8"/>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Issuing Department </w:t>
            </w:r>
          </w:p>
          <w:p>
            <w:pPr>
              <w:pStyle w:val="13"/>
              <w:rPr>
                <w:sz w:val="23"/>
                <w:szCs w:val="23"/>
                <w:lang w:val="en-IN" w:bidi="ar-SA"/>
              </w:rPr>
            </w:pPr>
          </w:p>
        </w:tc>
        <w:tc>
          <w:tcPr>
            <w:tcW w:w="5355" w:type="dxa"/>
          </w:tcPr>
          <w:p>
            <w:pPr>
              <w:pStyle w:val="13"/>
              <w:rPr>
                <w:rFonts w:cstheme="minorBidi"/>
                <w:sz w:val="23"/>
                <w:szCs w:val="20"/>
                <w:lang w:val="en-IN"/>
              </w:rPr>
            </w:pPr>
            <w:r>
              <w:rPr>
                <w:rFonts w:cstheme="minorBidi"/>
                <w:sz w:val="23"/>
                <w:szCs w:val="20"/>
                <w:lang w:val="en-IN"/>
              </w:rPr>
              <w:t>IT Department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Reference No </w:t>
            </w:r>
          </w:p>
          <w:p>
            <w:pPr>
              <w:pStyle w:val="13"/>
              <w:rPr>
                <w:sz w:val="23"/>
                <w:szCs w:val="23"/>
                <w:lang w:val="en-IN" w:bidi="ar-SA"/>
              </w:rPr>
            </w:pPr>
          </w:p>
        </w:tc>
        <w:tc>
          <w:tcPr>
            <w:tcW w:w="5355" w:type="dxa"/>
          </w:tcPr>
          <w:p>
            <w:pPr>
              <w:pStyle w:val="13"/>
              <w:rPr>
                <w:rFonts w:hint="default" w:cstheme="minorBidi"/>
                <w:sz w:val="23"/>
                <w:szCs w:val="20"/>
                <w:lang w:val="en-US"/>
              </w:rPr>
            </w:pPr>
            <w:r>
              <w:rPr>
                <w:rFonts w:hint="default" w:cstheme="minorBidi"/>
                <w:sz w:val="23"/>
                <w:szCs w:val="20"/>
                <w:lang w:val="en-US"/>
              </w:rPr>
              <w:t>882/VA &amp; PT Audit/2021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Brief scope of work </w:t>
            </w:r>
          </w:p>
          <w:p>
            <w:pPr>
              <w:pStyle w:val="13"/>
              <w:rPr>
                <w:sz w:val="23"/>
                <w:szCs w:val="23"/>
                <w:lang w:val="en-IN" w:bidi="ar-SA"/>
              </w:rPr>
            </w:pPr>
          </w:p>
        </w:tc>
        <w:tc>
          <w:tcPr>
            <w:tcW w:w="5355" w:type="dxa"/>
          </w:tcPr>
          <w:p>
            <w:pPr>
              <w:pStyle w:val="13"/>
              <w:rPr>
                <w:sz w:val="23"/>
                <w:szCs w:val="23"/>
                <w:lang w:val="en-IN" w:bidi="ar-SA"/>
              </w:rPr>
            </w:pPr>
            <w:r>
              <w:rPr>
                <w:rFonts w:hint="default" w:ascii="Tahoma" w:hAnsi="Tahoma" w:cs="Tahoma"/>
                <w:color w:val="000000"/>
                <w:sz w:val="23"/>
                <w:szCs w:val="23"/>
                <w:lang w:val="en-US"/>
              </w:rPr>
              <w:t>VA &amp; PT of bank’s website, critical IT Infrastructure Components and Recommendations.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Details Scope of work </w:t>
            </w:r>
          </w:p>
          <w:p>
            <w:pPr>
              <w:pStyle w:val="13"/>
              <w:rPr>
                <w:sz w:val="23"/>
                <w:szCs w:val="23"/>
                <w:lang w:val="en-IN" w:bidi="ar-SA"/>
              </w:rPr>
            </w:pPr>
          </w:p>
        </w:tc>
        <w:tc>
          <w:tcPr>
            <w:tcW w:w="5355" w:type="dxa"/>
          </w:tcPr>
          <w:p>
            <w:pPr>
              <w:pStyle w:val="13"/>
              <w:rPr>
                <w:sz w:val="23"/>
                <w:szCs w:val="23"/>
                <w:lang w:val="en-IN" w:bidi="ar-SA"/>
              </w:rPr>
            </w:pPr>
            <w:r>
              <w:rPr>
                <w:sz w:val="23"/>
                <w:szCs w:val="23"/>
                <w:lang w:val="en-IN" w:bidi="ar-SA"/>
              </w:rPr>
              <w:t>As Per Appendix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Mode of Bid Submission</w:t>
            </w:r>
          </w:p>
        </w:tc>
        <w:tc>
          <w:tcPr>
            <w:tcW w:w="5355" w:type="dxa"/>
          </w:tcPr>
          <w:p>
            <w:pPr>
              <w:pStyle w:val="13"/>
              <w:rPr>
                <w:rFonts w:hint="default"/>
                <w:sz w:val="23"/>
                <w:szCs w:val="23"/>
                <w:lang w:val="en-US" w:bidi="ar-SA"/>
              </w:rPr>
            </w:pPr>
            <w:r>
              <w:rPr>
                <w:rFonts w:hint="default"/>
                <w:sz w:val="23"/>
                <w:szCs w:val="23"/>
                <w:lang w:val="en-US" w:bidi="ar-SA"/>
              </w:rPr>
              <w:t>Manager04datacenter@jsbsatara.com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Base currency </w:t>
            </w:r>
          </w:p>
        </w:tc>
        <w:tc>
          <w:tcPr>
            <w:tcW w:w="5355" w:type="dxa"/>
          </w:tcPr>
          <w:p>
            <w:pPr>
              <w:pStyle w:val="13"/>
              <w:rPr>
                <w:sz w:val="23"/>
                <w:szCs w:val="23"/>
                <w:lang w:val="en-IN" w:bidi="ar-SA"/>
              </w:rPr>
            </w:pPr>
            <w:r>
              <w:rPr>
                <w:sz w:val="23"/>
                <w:szCs w:val="23"/>
                <w:lang w:val="en-IN" w:bidi="ar-SA"/>
              </w:rPr>
              <w:t>INR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3" w:type="dxa"/>
            <w:gridSpan w:val="2"/>
          </w:tcPr>
          <w:p>
            <w:pPr>
              <w:pStyle w:val="13"/>
              <w:numPr>
                <w:ilvl w:val="0"/>
                <w:numId w:val="1"/>
              </w:numPr>
              <w:rPr>
                <w:sz w:val="23"/>
                <w:szCs w:val="23"/>
                <w:lang w:val="en-IN" w:bidi="ar-SA"/>
              </w:rPr>
            </w:pPr>
            <w:r>
              <w:rPr>
                <w:b/>
                <w:bCs/>
                <w:sz w:val="23"/>
                <w:szCs w:val="23"/>
                <w:lang w:val="en-IN" w:bidi="ar-SA"/>
              </w:rPr>
              <w:t xml:space="preserve">Bank will share the amendment(s), If any to be published at Online Site </w:t>
            </w:r>
          </w:p>
        </w:tc>
      </w:tr>
    </w:tbl>
    <w:sdt>
      <w:sdtPr>
        <w:rPr>
          <w:rFonts w:asciiTheme="minorHAnsi" w:hAnsiTheme="minorHAnsi" w:eastAsiaTheme="minorHAnsi" w:cstheme="minorBidi"/>
          <w:b w:val="0"/>
          <w:bCs w:val="0"/>
          <w:color w:val="auto"/>
          <w:sz w:val="22"/>
          <w:szCs w:val="22"/>
          <w:lang w:val="en-IN"/>
        </w:rPr>
        <w:id w:val="3856096"/>
        <w:docPartObj>
          <w:docPartGallery w:val="Table of Contents"/>
          <w:docPartUnique/>
        </w:docPartObj>
      </w:sdtPr>
      <w:sdtEndPr>
        <w:rPr>
          <w:rFonts w:asciiTheme="minorHAnsi" w:hAnsiTheme="minorHAnsi" w:eastAsiaTheme="minorHAnsi" w:cstheme="minorBidi"/>
          <w:b w:val="0"/>
          <w:bCs w:val="0"/>
          <w:color w:val="auto"/>
          <w:sz w:val="22"/>
          <w:szCs w:val="22"/>
          <w:lang w:val="en-IN"/>
        </w:rPr>
      </w:sdtEndPr>
      <w:sdtContent>
        <w:p>
          <w:pPr>
            <w:pStyle w:val="14"/>
            <w:rPr>
              <w:lang w:bidi="mr-IN"/>
            </w:rPr>
          </w:pPr>
          <w:r>
            <w:t>Table of Contents</w:t>
          </w:r>
        </w:p>
        <w:p>
          <w:pPr>
            <w:pStyle w:val="2"/>
            <w:rPr>
              <w:lang w:val="en-US" w:bidi="mr-IN"/>
            </w:rPr>
          </w:pPr>
        </w:p>
        <w:p>
          <w:pPr>
            <w:pStyle w:val="10"/>
            <w:tabs>
              <w:tab w:val="right" w:leader="dot" w:pos="9350"/>
            </w:tabs>
            <w:rPr>
              <w:rFonts w:eastAsiaTheme="minorEastAsia"/>
              <w:szCs w:val="20"/>
              <w:lang w:val="en-US" w:bidi="mr-IN"/>
            </w:rPr>
          </w:pPr>
          <w:r>
            <w:fldChar w:fldCharType="begin"/>
          </w:r>
          <w:r>
            <w:instrText xml:space="preserve"> TOC \o "1-3" \h \z \u </w:instrText>
          </w:r>
          <w:r>
            <w:fldChar w:fldCharType="separate"/>
          </w:r>
          <w:r>
            <w:fldChar w:fldCharType="begin"/>
          </w:r>
          <w:r>
            <w:instrText xml:space="preserve"> HYPERLINK \l "_Toc58703384" </w:instrText>
          </w:r>
          <w:r>
            <w:fldChar w:fldCharType="separate"/>
          </w:r>
          <w:r>
            <w:rPr>
              <w:rStyle w:val="8"/>
              <w:b/>
              <w:bCs/>
            </w:rPr>
            <w:t>INVITATION TO BID:</w:t>
          </w:r>
          <w:r>
            <w:tab/>
          </w:r>
          <w:r>
            <w:fldChar w:fldCharType="begin"/>
          </w:r>
          <w:r>
            <w:instrText xml:space="preserve"> PAGEREF _Toc58703384 \h </w:instrText>
          </w:r>
          <w:r>
            <w:fldChar w:fldCharType="separate"/>
          </w:r>
          <w:r>
            <w:t>4</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"_Toc58703385" </w:instrText>
          </w:r>
          <w:r>
            <w:fldChar w:fldCharType="separate"/>
          </w:r>
          <w:r>
            <w:rPr>
              <w:rStyle w:val="8"/>
              <w:b/>
              <w:bCs/>
            </w:rPr>
            <w:t>DISCLAIMER:</w:t>
          </w:r>
          <w:r>
            <w:tab/>
          </w:r>
          <w:r>
            <w:fldChar w:fldCharType="begin"/>
          </w:r>
          <w:r>
            <w:instrText xml:space="preserve"> PAGEREF _Toc58703385 \h </w:instrText>
          </w:r>
          <w:r>
            <w:fldChar w:fldCharType="separate"/>
          </w:r>
          <w:r>
            <w:t>4</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"_Toc58703386" </w:instrText>
          </w:r>
          <w:r>
            <w:fldChar w:fldCharType="separate"/>
          </w:r>
          <w:r>
            <w:rPr>
              <w:rStyle w:val="8"/>
              <w:b/>
              <w:bCs/>
            </w:rPr>
            <w:t>DEFINITIONS:</w:t>
          </w:r>
          <w:r>
            <w:tab/>
          </w:r>
          <w:r>
            <w:fldChar w:fldCharType="begin"/>
          </w:r>
          <w:r>
            <w:instrText xml:space="preserve"> PAGEREF _Toc58703386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"_Toc58703387" </w:instrText>
          </w:r>
          <w:r>
            <w:fldChar w:fldCharType="separate"/>
          </w:r>
          <w:r>
            <w:rPr>
              <w:rStyle w:val="8"/>
              <w:b/>
              <w:bCs/>
            </w:rPr>
            <w:t>SCOPE OF WORK:</w:t>
          </w:r>
          <w:r>
            <w:tab/>
          </w:r>
          <w:r>
            <w:fldChar w:fldCharType="begin"/>
          </w:r>
          <w:r>
            <w:instrText xml:space="preserve"> PAGEREF _Toc58703387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"_Toc58703388" </w:instrText>
          </w:r>
          <w:r>
            <w:fldChar w:fldCharType="separate"/>
          </w:r>
          <w:r>
            <w:rPr>
              <w:rStyle w:val="8"/>
              <w:b/>
              <w:bCs/>
            </w:rPr>
            <w:t>ELIGIBILITY AND TECHNICAL CRITERIA:</w:t>
          </w:r>
          <w:r>
            <w:tab/>
          </w:r>
          <w:r>
            <w:fldChar w:fldCharType="begin"/>
          </w:r>
          <w:r>
            <w:instrText xml:space="preserve"> PAGEREF _Toc58703388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"_Toc58703389" </w:instrText>
          </w:r>
          <w:r>
            <w:fldChar w:fldCharType="separate"/>
          </w:r>
          <w:r>
            <w:rPr>
              <w:rStyle w:val="8"/>
              <w:b/>
              <w:bCs/>
            </w:rPr>
            <w:t>DEADLINE FOR SUBMISSION OF BIDS:</w:t>
          </w:r>
          <w:r>
            <w:tab/>
          </w:r>
          <w:r>
            <w:fldChar w:fldCharType="begin"/>
          </w:r>
          <w:r>
            <w:instrText xml:space="preserve"> PAGEREF _Toc58703389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"_Toc58703390" </w:instrText>
          </w:r>
          <w:r>
            <w:fldChar w:fldCharType="separate"/>
          </w:r>
          <w:r>
            <w:rPr>
              <w:rStyle w:val="8"/>
              <w:b/>
              <w:bCs/>
            </w:rPr>
            <w:t>SERVICES:</w:t>
          </w:r>
          <w:r>
            <w:tab/>
          </w:r>
          <w:r>
            <w:fldChar w:fldCharType="begin"/>
          </w:r>
          <w:r>
            <w:instrText xml:space="preserve"> PAGEREF _Toc58703390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"_Toc58703391" </w:instrText>
          </w:r>
          <w:r>
            <w:fldChar w:fldCharType="separate"/>
          </w:r>
          <w:r>
            <w:rPr>
              <w:rStyle w:val="8"/>
              <w:b/>
              <w:bCs/>
              <w:lang w:val="en-US"/>
            </w:rPr>
            <w:t>CONFIDENTIALITY:</w:t>
          </w:r>
          <w:r>
            <w:tab/>
          </w:r>
          <w:r>
            <w:fldChar w:fldCharType="begin"/>
          </w:r>
          <w:r>
            <w:instrText xml:space="preserve"> PAGEREF _Toc58703391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"_Toc58703392" </w:instrText>
          </w:r>
          <w:r>
            <w:fldChar w:fldCharType="separate"/>
          </w:r>
          <w:r>
            <w:rPr>
              <w:rStyle w:val="8"/>
              <w:b/>
              <w:bCs/>
              <w:lang w:val="en-US"/>
            </w:rPr>
            <w:t>BANK’S IT SETUP</w:t>
          </w:r>
          <w:r>
            <w:tab/>
          </w:r>
          <w:r>
            <w:fldChar w:fldCharType="begin"/>
          </w:r>
          <w:r>
            <w:instrText xml:space="preserve"> PAGEREF _Toc58703392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"_Toc58703393" </w:instrText>
          </w:r>
          <w:r>
            <w:fldChar w:fldCharType="separate"/>
          </w:r>
          <w:r>
            <w:rPr>
              <w:rStyle w:val="8"/>
              <w:b/>
              <w:bCs/>
            </w:rPr>
            <w:t>Appendix – A-Scope of Work</w:t>
          </w:r>
          <w:r>
            <w:tab/>
          </w:r>
          <w:r>
            <w:fldChar w:fldCharType="begin"/>
          </w:r>
          <w:r>
            <w:instrText xml:space="preserve"> PAGEREF _Toc58703393 \h </w:instrText>
          </w:r>
          <w:r>
            <w:fldChar w:fldCharType="separate"/>
          </w:r>
          <w:r>
            <w:t>8</w:t>
          </w:r>
          <w:r>
            <w:fldChar w:fldCharType="end"/>
          </w:r>
          <w:r>
            <w:fldChar w:fldCharType="end"/>
          </w:r>
        </w:p>
        <w:p>
          <w:r>
            <w:fldChar w:fldCharType="end"/>
          </w:r>
        </w:p>
      </w:sdtContent>
    </w:sdt>
    <w:p>
      <w:pPr>
        <w:pStyle w:val="2"/>
        <w:rPr>
          <w:rFonts w:ascii="Tahoma" w:hAnsi="Tahoma" w:cs="Tahoma" w:eastAsiaTheme="minorHAnsi"/>
          <w:color w:val="000000"/>
          <w:sz w:val="23"/>
          <w:szCs w:val="23"/>
        </w:rPr>
      </w:pPr>
    </w:p>
    <w:p>
      <w:pPr>
        <w:pStyle w:val="2"/>
        <w:rPr>
          <w:rFonts w:ascii="Tahoma" w:hAnsi="Tahoma"/>
          <w:b/>
          <w:bCs/>
          <w:color w:val="000000"/>
          <w:sz w:val="23"/>
          <w:szCs w:val="23"/>
          <w:lang w:val="en-US" w:bidi="mr-IN"/>
        </w:rPr>
      </w:pPr>
      <w:r>
        <w:rPr>
          <w:rFonts w:cstheme="minorBidi"/>
          <w:b/>
          <w:bCs/>
          <w:sz w:val="23"/>
          <w:szCs w:val="23"/>
        </w:rPr>
        <w:br w:type="page"/>
      </w:r>
    </w:p>
    <w:p>
      <w:pPr>
        <w:pStyle w:val="2"/>
        <w:rPr>
          <w:b/>
          <w:bCs/>
          <w:lang w:val="en-US"/>
        </w:rPr>
      </w:pPr>
      <w:bookmarkStart w:id="1" w:name="_Toc58703384"/>
      <w:r>
        <w:rPr>
          <w:b/>
          <w:bCs/>
        </w:rPr>
        <w:t>INVITATION TO BID:</w:t>
      </w:r>
      <w:bookmarkEnd w:id="1"/>
    </w:p>
    <w:p>
      <w:pPr>
        <w:pStyle w:val="13"/>
        <w:jc w:val="center"/>
        <w:rPr>
          <w:rFonts w:cstheme="minorBidi"/>
          <w:b/>
          <w:bCs/>
          <w:sz w:val="23"/>
          <w:szCs w:val="20"/>
          <w:lang w:val="en-IN"/>
        </w:rPr>
      </w:pPr>
    </w:p>
    <w:p>
      <w:pPr>
        <w:pStyle w:val="13"/>
        <w:jc w:val="both"/>
        <w:rPr>
          <w:sz w:val="23"/>
          <w:szCs w:val="23"/>
          <w:lang w:val="en-IN" w:bidi="ar-SA"/>
        </w:rPr>
      </w:pPr>
      <w:r>
        <w:rPr>
          <w:sz w:val="23"/>
          <w:szCs w:val="23"/>
          <w:lang w:val="en-IN" w:bidi="ar-SA"/>
        </w:rPr>
        <w:t>The Janata Sahakari Bank Ltd.,</w:t>
      </w:r>
      <w:r>
        <w:rPr>
          <w:rFonts w:hint="cs" w:cstheme="minorBidi"/>
          <w:sz w:val="23"/>
          <w:szCs w:val="20"/>
          <w:cs/>
          <w:lang w:val="en-IN"/>
        </w:rPr>
        <w:t xml:space="preserve"> </w:t>
      </w:r>
      <w:r>
        <w:rPr>
          <w:sz w:val="23"/>
          <w:szCs w:val="23"/>
          <w:lang w:val="en-IN" w:bidi="ar-SA"/>
        </w:rPr>
        <w:t>Satara (hereinafter referred to as “JSBL”), having its Head Office at Satara, with its branch network is the leading bank in Satara. JSBL has network of 16 branches across the state of Maharashtra.</w:t>
      </w:r>
      <w:r>
        <w:rPr>
          <w:rFonts w:hint="cs" w:cstheme="minorBidi"/>
          <w:sz w:val="23"/>
          <w:szCs w:val="20"/>
          <w:cs/>
          <w:lang w:val="en-IN"/>
        </w:rPr>
        <w:t xml:space="preserve"> </w:t>
      </w:r>
      <w:r>
        <w:rPr>
          <w:sz w:val="23"/>
          <w:szCs w:val="23"/>
          <w:lang w:val="en-IN" w:bidi="ar-SA"/>
        </w:rPr>
        <w:t xml:space="preserve">This Request for Proposal (RFP) is being issued by the Bank for selection of vendors for conducting of </w:t>
      </w:r>
      <w:r>
        <w:rPr>
          <w:rFonts w:hint="default"/>
          <w:sz w:val="23"/>
          <w:szCs w:val="23"/>
          <w:lang w:val="en-US" w:bidi="ar-SA"/>
        </w:rPr>
        <w:t>VAPT</w:t>
      </w:r>
      <w:r>
        <w:rPr>
          <w:sz w:val="23"/>
          <w:szCs w:val="23"/>
          <w:lang w:val="en-IN" w:bidi="ar-SA"/>
        </w:rPr>
        <w:t xml:space="preserve"> Audi</w:t>
      </w:r>
      <w:r>
        <w:rPr>
          <w:rFonts w:hint="default"/>
          <w:sz w:val="23"/>
          <w:szCs w:val="23"/>
          <w:lang w:val="en-US" w:bidi="ar-SA"/>
        </w:rPr>
        <w:t>t</w:t>
      </w:r>
      <w:r>
        <w:rPr>
          <w:sz w:val="23"/>
          <w:szCs w:val="23"/>
          <w:lang w:val="en-IN" w:bidi="ar-SA"/>
        </w:rPr>
        <w:t>.</w:t>
      </w:r>
    </w:p>
    <w:p>
      <w:pPr>
        <w:pStyle w:val="13"/>
        <w:jc w:val="both"/>
        <w:rPr>
          <w:sz w:val="23"/>
          <w:szCs w:val="23"/>
          <w:lang w:val="en-IN" w:bidi="ar-SA"/>
        </w:rPr>
      </w:pPr>
    </w:p>
    <w:p>
      <w:pPr>
        <w:pStyle w:val="13"/>
        <w:numPr>
          <w:ilvl w:val="0"/>
          <w:numId w:val="2"/>
        </w:numPr>
        <w:rPr>
          <w:sz w:val="23"/>
          <w:szCs w:val="23"/>
        </w:rPr>
      </w:pPr>
      <w:r>
        <w:rPr>
          <w:sz w:val="23"/>
          <w:szCs w:val="23"/>
        </w:rPr>
        <w:t xml:space="preserve">In order to meet the service requirements, the Bank proposes to invite Bids from eligible Bidders as per details/scope of work mentioned in </w:t>
      </w:r>
      <w:r>
        <w:rPr>
          <w:b/>
          <w:bCs/>
          <w:sz w:val="23"/>
          <w:szCs w:val="23"/>
        </w:rPr>
        <w:t xml:space="preserve">Appendix-A </w:t>
      </w:r>
      <w:r>
        <w:rPr>
          <w:sz w:val="23"/>
          <w:szCs w:val="23"/>
        </w:rPr>
        <w:t xml:space="preserve">of this RFP. </w:t>
      </w:r>
    </w:p>
    <w:p>
      <w:pPr>
        <w:pStyle w:val="13"/>
        <w:rPr>
          <w:sz w:val="23"/>
          <w:szCs w:val="23"/>
        </w:rPr>
      </w:pPr>
    </w:p>
    <w:p>
      <w:pPr>
        <w:pStyle w:val="13"/>
        <w:numPr>
          <w:ilvl w:val="0"/>
          <w:numId w:val="2"/>
        </w:numPr>
        <w:rPr>
          <w:sz w:val="23"/>
          <w:szCs w:val="23"/>
        </w:rPr>
      </w:pPr>
      <w:r>
        <w:rPr>
          <w:sz w:val="23"/>
          <w:szCs w:val="23"/>
        </w:rPr>
        <w:t xml:space="preserve">The interested Bidders who agree to all the terms and conditions contained in this RFP may submit their Bids with the information desired in this RFP. Consortium bidding is not permitted under this RFP. </w:t>
      </w:r>
    </w:p>
    <w:p>
      <w:pPr>
        <w:pStyle w:val="13"/>
        <w:rPr>
          <w:sz w:val="23"/>
          <w:szCs w:val="23"/>
        </w:rPr>
      </w:pPr>
    </w:p>
    <w:p>
      <w:pPr>
        <w:pStyle w:val="13"/>
        <w:numPr>
          <w:ilvl w:val="0"/>
          <w:numId w:val="2"/>
        </w:numPr>
        <w:rPr>
          <w:sz w:val="23"/>
          <w:szCs w:val="23"/>
        </w:rPr>
      </w:pPr>
      <w:r>
        <w:rPr>
          <w:sz w:val="23"/>
          <w:szCs w:val="23"/>
        </w:rPr>
        <w:t xml:space="preserve">Address for submission of Bids, contact details including email address for sending communications are given in Schedule of Events of this RFP. </w:t>
      </w:r>
    </w:p>
    <w:p>
      <w:pPr>
        <w:pStyle w:val="13"/>
        <w:rPr>
          <w:sz w:val="23"/>
          <w:szCs w:val="23"/>
        </w:rPr>
      </w:pPr>
    </w:p>
    <w:p>
      <w:pPr>
        <w:pStyle w:val="13"/>
        <w:numPr>
          <w:ilvl w:val="0"/>
          <w:numId w:val="2"/>
        </w:numPr>
        <w:rPr>
          <w:sz w:val="23"/>
          <w:szCs w:val="23"/>
        </w:rPr>
      </w:pPr>
      <w:r>
        <w:rPr>
          <w:sz w:val="23"/>
          <w:szCs w:val="23"/>
        </w:rPr>
        <w:t xml:space="preserve">The purpose of JSBL behind this RFP is to seek a detailed scope of work and commercial proposal for procurement of the Services desired in this RFP. </w:t>
      </w:r>
    </w:p>
    <w:p>
      <w:pPr>
        <w:pStyle w:val="13"/>
        <w:rPr>
          <w:sz w:val="23"/>
          <w:szCs w:val="23"/>
        </w:rPr>
      </w:pPr>
    </w:p>
    <w:p>
      <w:pPr>
        <w:pStyle w:val="13"/>
        <w:numPr>
          <w:ilvl w:val="0"/>
          <w:numId w:val="2"/>
        </w:numPr>
        <w:rPr>
          <w:sz w:val="23"/>
          <w:szCs w:val="23"/>
        </w:rPr>
      </w:pPr>
      <w:r>
        <w:rPr>
          <w:sz w:val="23"/>
          <w:szCs w:val="23"/>
        </w:rPr>
        <w:t xml:space="preserve">This RFP document shall not be transferred, reproduced or otherwise used for purpose other than for which it is specifically issued. </w:t>
      </w:r>
    </w:p>
    <w:p>
      <w:pPr>
        <w:pStyle w:val="13"/>
        <w:rPr>
          <w:sz w:val="23"/>
          <w:szCs w:val="23"/>
        </w:rPr>
      </w:pPr>
    </w:p>
    <w:p>
      <w:pPr>
        <w:pStyle w:val="13"/>
        <w:numPr>
          <w:ilvl w:val="0"/>
          <w:numId w:val="2"/>
        </w:numPr>
        <w:rPr>
          <w:sz w:val="23"/>
          <w:szCs w:val="23"/>
        </w:rPr>
      </w:pPr>
      <w:r>
        <w:rPr>
          <w:sz w:val="23"/>
          <w:szCs w:val="23"/>
        </w:rPr>
        <w:t>Interested Bidders are advised to go through the entire RFP before submission of Bids to avoid any chance of elimination. The eligible Bidders are invited to submit the detailed scope of work and commercial proposal in response to this RFP. The criteria and the actual process of evaluation of the responses to this RFP and subsequent selection of the successful Bidder will be entirely at Bank’s discretion. This RFP seeks proposal from Bidders who have the necessary experience, capability &amp; expertise to provide JSBL the proposed Services</w:t>
      </w:r>
      <w:r>
        <w:rPr>
          <w:b/>
          <w:bCs/>
          <w:sz w:val="23"/>
          <w:szCs w:val="23"/>
        </w:rPr>
        <w:t xml:space="preserve"> </w:t>
      </w:r>
      <w:r>
        <w:rPr>
          <w:sz w:val="23"/>
          <w:szCs w:val="23"/>
        </w:rPr>
        <w:t xml:space="preserve">adhering to Bank’s requirements outlined in this RFP. </w:t>
      </w:r>
    </w:p>
    <w:p>
      <w:pPr>
        <w:pStyle w:val="12"/>
        <w:ind w:left="1080"/>
        <w:rPr>
          <w:rFonts w:ascii="Tahoma" w:hAnsi="Tahoma" w:cs="Tahoma"/>
          <w:sz w:val="23"/>
          <w:szCs w:val="23"/>
        </w:rPr>
      </w:pPr>
    </w:p>
    <w:p>
      <w:pPr>
        <w:pStyle w:val="2"/>
        <w:rPr>
          <w:b/>
          <w:bCs/>
        </w:rPr>
      </w:pPr>
      <w:bookmarkStart w:id="2" w:name="_Toc58703385"/>
      <w:r>
        <w:rPr>
          <w:b/>
          <w:bCs/>
        </w:rPr>
        <w:t>DISCLAIMER:</w:t>
      </w:r>
      <w:bookmarkEnd w:id="2"/>
      <w:r>
        <w:rPr>
          <w:b/>
          <w:bCs/>
        </w:rPr>
        <w:t xml:space="preserve"> </w:t>
      </w:r>
    </w:p>
    <w:p>
      <w:pPr>
        <w:pStyle w:val="13"/>
        <w:rPr>
          <w:b/>
          <w:bCs/>
          <w:sz w:val="23"/>
          <w:szCs w:val="23"/>
        </w:rPr>
      </w:pPr>
    </w:p>
    <w:p>
      <w:pPr>
        <w:pStyle w:val="13"/>
        <w:numPr>
          <w:ilvl w:val="0"/>
          <w:numId w:val="3"/>
        </w:numPr>
        <w:rPr>
          <w:sz w:val="23"/>
          <w:szCs w:val="23"/>
        </w:rPr>
      </w:pPr>
      <w:r>
        <w:rPr>
          <w:sz w:val="23"/>
          <w:szCs w:val="23"/>
        </w:rPr>
        <w:t xml:space="preserve">The information contained in this RFP or information provided subsequently to Bidder(s) whether verbally or in documentary form/email by or on behalf of JSBL, is subject to the terms and conditions set out in this RFP. </w:t>
      </w:r>
    </w:p>
    <w:p>
      <w:pPr>
        <w:pStyle w:val="13"/>
        <w:numPr>
          <w:ilvl w:val="0"/>
          <w:numId w:val="3"/>
        </w:numPr>
        <w:rPr>
          <w:sz w:val="23"/>
          <w:szCs w:val="23"/>
        </w:rPr>
      </w:pPr>
      <w:r>
        <w:rPr>
          <w:sz w:val="23"/>
          <w:szCs w:val="23"/>
        </w:rPr>
        <w:t xml:space="preserve">This RFP is not an offer by JSBL, but an invitation to receive responses from the eligible Bidders. </w:t>
      </w:r>
    </w:p>
    <w:p>
      <w:pPr>
        <w:pStyle w:val="13"/>
        <w:numPr>
          <w:ilvl w:val="0"/>
          <w:numId w:val="3"/>
        </w:numPr>
        <w:rPr>
          <w:sz w:val="23"/>
          <w:szCs w:val="23"/>
        </w:rPr>
      </w:pPr>
      <w:r>
        <w:rPr>
          <w:sz w:val="23"/>
          <w:szCs w:val="23"/>
        </w:rPr>
        <w:t xml:space="preserve">The purpose of this RFP is to provide the Bidder(s) with information to assist preparation of their Bid proposals. This RFP does not claim to contain all the information each Bidder may require. Each Bidder should conduct its own investigations and analysis and should check the accuracy, reliability and completeness of the information contained in this RFP and where necessary obtain independent advices/clarifications. Bank may in its absolute discretion, but without being under any obligation to do so, update, amend or supplement the information in this RFP. </w:t>
      </w:r>
    </w:p>
    <w:p>
      <w:pPr>
        <w:pStyle w:val="13"/>
        <w:numPr>
          <w:ilvl w:val="0"/>
          <w:numId w:val="3"/>
        </w:numPr>
        <w:rPr>
          <w:sz w:val="23"/>
          <w:szCs w:val="23"/>
        </w:rPr>
      </w:pPr>
      <w:r>
        <w:rPr>
          <w:sz w:val="23"/>
          <w:szCs w:val="23"/>
        </w:rPr>
        <w:t xml:space="preserve">The Bank also accepts no liability of any nature whether resulting from negligence or otherwise, howsoever caused arising from reliance of any Bidder upon the statements contained in this RFP. </w:t>
      </w:r>
    </w:p>
    <w:p>
      <w:pPr>
        <w:pStyle w:val="13"/>
        <w:numPr>
          <w:ilvl w:val="0"/>
          <w:numId w:val="3"/>
        </w:numPr>
        <w:rPr>
          <w:sz w:val="23"/>
          <w:szCs w:val="23"/>
        </w:rPr>
      </w:pPr>
      <w:r>
        <w:rPr>
          <w:sz w:val="23"/>
          <w:szCs w:val="23"/>
        </w:rPr>
        <w:t xml:space="preserve">The issue of this RFP does not imply that the Bank is bound to select a Bidder or to award the contract to the Selected Bidder, as the case may be, for the Project and the Bank reserves the right to reject all or any of the Bids or Bidders without assigning any reason whatsoever before issuance of purchase order and/or its acceptance thereof by the successful Bidder as defined in Award Criteria and Award of Contract in this RFP. </w:t>
      </w:r>
    </w:p>
    <w:p>
      <w:pPr>
        <w:pStyle w:val="13"/>
        <w:rPr>
          <w:sz w:val="23"/>
          <w:szCs w:val="23"/>
        </w:rPr>
      </w:pPr>
    </w:p>
    <w:p>
      <w:pPr>
        <w:pStyle w:val="2"/>
        <w:rPr>
          <w:b/>
          <w:bCs/>
        </w:rPr>
      </w:pPr>
      <w:bookmarkStart w:id="3" w:name="_Toc58703386"/>
      <w:r>
        <w:rPr>
          <w:b/>
          <w:bCs/>
        </w:rPr>
        <w:t>DEFINITIONS:</w:t>
      </w:r>
      <w:bookmarkEnd w:id="3"/>
      <w:r>
        <w:rPr>
          <w:b/>
          <w:bCs/>
        </w:rPr>
        <w:t xml:space="preserve"> </w:t>
      </w:r>
    </w:p>
    <w:p>
      <w:pPr>
        <w:pStyle w:val="13"/>
        <w:rPr>
          <w:b/>
          <w:bCs/>
          <w:sz w:val="23"/>
          <w:szCs w:val="23"/>
        </w:rPr>
      </w:pPr>
    </w:p>
    <w:p>
      <w:pPr>
        <w:pStyle w:val="13"/>
        <w:rPr>
          <w:sz w:val="23"/>
          <w:szCs w:val="23"/>
        </w:rPr>
      </w:pPr>
      <w:r>
        <w:rPr>
          <w:sz w:val="23"/>
          <w:szCs w:val="23"/>
        </w:rPr>
        <w:t xml:space="preserve">In this connection, the following terms shall be interpreted as indicated below: </w:t>
      </w:r>
    </w:p>
    <w:p>
      <w:pPr>
        <w:pStyle w:val="13"/>
        <w:rPr>
          <w:sz w:val="23"/>
          <w:szCs w:val="23"/>
        </w:rPr>
      </w:pPr>
    </w:p>
    <w:p>
      <w:pPr>
        <w:pStyle w:val="13"/>
        <w:numPr>
          <w:ilvl w:val="0"/>
          <w:numId w:val="4"/>
        </w:numPr>
        <w:ind w:left="720" w:hanging="360"/>
        <w:rPr>
          <w:sz w:val="23"/>
          <w:szCs w:val="23"/>
        </w:rPr>
      </w:pPr>
      <w:r>
        <w:rPr>
          <w:b/>
          <w:bCs/>
          <w:sz w:val="23"/>
          <w:szCs w:val="23"/>
        </w:rPr>
        <w:t xml:space="preserve">“The Bank” </w:t>
      </w:r>
      <w:r>
        <w:rPr>
          <w:sz w:val="23"/>
          <w:szCs w:val="23"/>
        </w:rPr>
        <w:t>‘means the The Janata Sahakari Bank Ltd., Satara (JSBL) (including its offices and branches)</w:t>
      </w:r>
    </w:p>
    <w:p>
      <w:pPr>
        <w:pStyle w:val="13"/>
        <w:numPr>
          <w:ilvl w:val="0"/>
          <w:numId w:val="4"/>
        </w:numPr>
        <w:ind w:left="720" w:hanging="360"/>
        <w:rPr>
          <w:sz w:val="23"/>
          <w:szCs w:val="23"/>
        </w:rPr>
      </w:pPr>
      <w:r>
        <w:rPr>
          <w:b/>
          <w:bCs/>
          <w:sz w:val="23"/>
          <w:szCs w:val="23"/>
        </w:rPr>
        <w:t xml:space="preserve">“Bid” </w:t>
      </w:r>
      <w:r>
        <w:rPr>
          <w:sz w:val="23"/>
          <w:szCs w:val="23"/>
        </w:rPr>
        <w:t xml:space="preserve">means the written reply or submission of response to this RFP. </w:t>
      </w:r>
    </w:p>
    <w:p>
      <w:pPr>
        <w:pStyle w:val="13"/>
        <w:rPr>
          <w:sz w:val="23"/>
          <w:szCs w:val="23"/>
        </w:rPr>
      </w:pPr>
    </w:p>
    <w:p>
      <w:pPr>
        <w:pStyle w:val="13"/>
        <w:numPr>
          <w:ilvl w:val="0"/>
          <w:numId w:val="4"/>
        </w:numPr>
        <w:ind w:left="720" w:hanging="360"/>
        <w:rPr>
          <w:sz w:val="23"/>
          <w:szCs w:val="23"/>
        </w:rPr>
      </w:pPr>
      <w:r>
        <w:rPr>
          <w:b/>
          <w:bCs/>
          <w:sz w:val="23"/>
          <w:szCs w:val="23"/>
        </w:rPr>
        <w:t xml:space="preserve">“Vendor/Service Provider” </w:t>
      </w:r>
      <w:r>
        <w:rPr>
          <w:sz w:val="23"/>
          <w:szCs w:val="23"/>
        </w:rPr>
        <w:t>is the successful Bidder found eligible as per eligibility criteria set out as per Bank.</w:t>
      </w:r>
    </w:p>
    <w:p>
      <w:pPr>
        <w:pStyle w:val="13"/>
        <w:rPr>
          <w:sz w:val="23"/>
          <w:szCs w:val="23"/>
        </w:rPr>
      </w:pPr>
    </w:p>
    <w:p>
      <w:pPr>
        <w:pStyle w:val="13"/>
        <w:numPr>
          <w:ilvl w:val="0"/>
          <w:numId w:val="4"/>
        </w:numPr>
        <w:ind w:left="720" w:hanging="360"/>
        <w:rPr>
          <w:sz w:val="23"/>
          <w:szCs w:val="23"/>
        </w:rPr>
      </w:pPr>
      <w:r>
        <w:rPr>
          <w:b/>
          <w:bCs/>
          <w:sz w:val="23"/>
          <w:szCs w:val="23"/>
        </w:rPr>
        <w:t xml:space="preserve">“Services” </w:t>
      </w:r>
      <w:r>
        <w:rPr>
          <w:sz w:val="23"/>
          <w:szCs w:val="23"/>
        </w:rPr>
        <w:t>means all services, scope of work and deliverables to be provided by a Bidder as described in the RFP.</w:t>
      </w:r>
    </w:p>
    <w:p>
      <w:pPr>
        <w:pStyle w:val="12"/>
        <w:rPr>
          <w:rFonts w:ascii="Tahoma" w:hAnsi="Tahoma" w:cs="Tahoma"/>
          <w:sz w:val="23"/>
          <w:szCs w:val="23"/>
        </w:rPr>
      </w:pPr>
    </w:p>
    <w:p>
      <w:pPr>
        <w:pStyle w:val="13"/>
        <w:ind w:left="720"/>
        <w:rPr>
          <w:b/>
          <w:bCs/>
          <w:sz w:val="23"/>
          <w:szCs w:val="23"/>
        </w:rPr>
      </w:pPr>
    </w:p>
    <w:p>
      <w:pPr>
        <w:pStyle w:val="13"/>
        <w:rPr>
          <w:b/>
          <w:bCs/>
          <w:sz w:val="23"/>
          <w:szCs w:val="23"/>
        </w:rPr>
      </w:pPr>
      <w:bookmarkStart w:id="4" w:name="_Toc58703387"/>
      <w:r>
        <w:rPr>
          <w:rStyle w:val="11"/>
          <w:b/>
          <w:bCs/>
        </w:rPr>
        <w:t>SCOPE OF WORK:</w:t>
      </w:r>
      <w:bookmarkEnd w:id="4"/>
      <w:r>
        <w:rPr>
          <w:b/>
          <w:bCs/>
          <w:sz w:val="23"/>
          <w:szCs w:val="23"/>
        </w:rPr>
        <w:t xml:space="preserve"> As given in Appendix-A of this document.</w:t>
      </w:r>
    </w:p>
    <w:p>
      <w:pPr>
        <w:pStyle w:val="13"/>
        <w:rPr>
          <w:b/>
          <w:bCs/>
          <w:sz w:val="23"/>
          <w:szCs w:val="23"/>
        </w:rPr>
      </w:pPr>
    </w:p>
    <w:p>
      <w:pPr>
        <w:pStyle w:val="13"/>
        <w:rPr>
          <w:b/>
          <w:bCs/>
          <w:sz w:val="23"/>
          <w:szCs w:val="23"/>
        </w:rPr>
      </w:pPr>
    </w:p>
    <w:p>
      <w:pPr>
        <w:pStyle w:val="2"/>
        <w:rPr>
          <w:b/>
          <w:bCs/>
        </w:rPr>
      </w:pPr>
      <w:bookmarkStart w:id="5" w:name="_Toc58703388"/>
      <w:r>
        <w:rPr>
          <w:b/>
          <w:bCs/>
        </w:rPr>
        <w:t>ELIGIBILITY AND TECHNICAL CRITERIA:</w:t>
      </w:r>
      <w:bookmarkEnd w:id="5"/>
    </w:p>
    <w:p>
      <w:pPr>
        <w:autoSpaceDE w:val="0"/>
        <w:autoSpaceDN w:val="0"/>
        <w:adjustRightInd w:val="0"/>
        <w:spacing w:after="0" w:line="240" w:lineRule="auto"/>
        <w:rPr>
          <w:rFonts w:ascii="Tahoma" w:hAnsi="Tahoma" w:cs="Tahoma"/>
          <w:color w:val="000000"/>
          <w:sz w:val="23"/>
          <w:szCs w:val="23"/>
          <w:lang w:val="en-US" w:bidi="mr-IN"/>
        </w:rPr>
      </w:pPr>
    </w:p>
    <w:p>
      <w:pPr>
        <w:pStyle w:val="12"/>
        <w:numPr>
          <w:ilvl w:val="0"/>
          <w:numId w:val="5"/>
        </w:numPr>
        <w:autoSpaceDE w:val="0"/>
        <w:autoSpaceDN w:val="0"/>
        <w:adjustRightInd w:val="0"/>
        <w:spacing w:after="0" w:line="240" w:lineRule="auto"/>
        <w:ind w:hanging="360"/>
        <w:rPr>
          <w:rFonts w:ascii="Tahoma" w:hAnsi="Tahoma" w:cs="Tahoma"/>
          <w:color w:val="000000"/>
          <w:sz w:val="23"/>
          <w:szCs w:val="23"/>
          <w:lang w:val="en-US" w:bidi="mr-IN"/>
        </w:rPr>
      </w:pPr>
      <w:r>
        <w:rPr>
          <w:rFonts w:ascii="Tahoma" w:hAnsi="Tahoma" w:cs="Tahoma"/>
          <w:color w:val="000000"/>
          <w:sz w:val="23"/>
          <w:szCs w:val="23"/>
          <w:lang w:val="en-US" w:bidi="mr-IN"/>
        </w:rPr>
        <w:t>Bid is open to all Bidders who meet the eligibility and technical criteria set out as per Bank.</w:t>
      </w:r>
    </w:p>
    <w:p>
      <w:pPr>
        <w:pStyle w:val="12"/>
        <w:numPr>
          <w:ilvl w:val="0"/>
          <w:numId w:val="5"/>
        </w:numPr>
        <w:autoSpaceDE w:val="0"/>
        <w:autoSpaceDN w:val="0"/>
        <w:adjustRightInd w:val="0"/>
        <w:spacing w:after="0" w:line="240" w:lineRule="auto"/>
        <w:ind w:hanging="360"/>
        <w:rPr>
          <w:rFonts w:ascii="Tahoma" w:hAnsi="Tahoma" w:cs="Tahoma"/>
          <w:color w:val="000000"/>
          <w:sz w:val="23"/>
          <w:szCs w:val="23"/>
          <w:lang w:val="en-US" w:bidi="mr-IN"/>
        </w:rPr>
      </w:pPr>
      <w:r>
        <w:rPr>
          <w:rFonts w:ascii="Tahoma" w:hAnsi="Tahoma" w:cs="Tahoma"/>
          <w:sz w:val="23"/>
          <w:szCs w:val="23"/>
        </w:rPr>
        <w:t xml:space="preserve">The decision of the Bank in regard to this RFP shall be final and binding on all the Bidders. All disputes or differences in connection with this RFP shall be subject to the jurisdiction of the Courts at Satara only. </w:t>
      </w:r>
    </w:p>
    <w:p>
      <w:pPr>
        <w:pStyle w:val="2"/>
        <w:rPr>
          <w:b/>
          <w:bCs/>
        </w:rPr>
      </w:pPr>
      <w:bookmarkStart w:id="6" w:name="_Toc58703389"/>
    </w:p>
    <w:p/>
    <w:p>
      <w:pPr>
        <w:pStyle w:val="2"/>
        <w:rPr>
          <w:b/>
          <w:bCs/>
        </w:rPr>
      </w:pPr>
      <w:r>
        <w:rPr>
          <w:b/>
          <w:bCs/>
        </w:rPr>
        <w:t>DEADLINE FOR SUBMISSION OF BIDS:</w:t>
      </w:r>
      <w:bookmarkEnd w:id="6"/>
      <w:r>
        <w:rPr>
          <w:b/>
          <w:bCs/>
        </w:rPr>
        <w:t xml:space="preserve"> </w:t>
      </w:r>
    </w:p>
    <w:p>
      <w:pPr>
        <w:pStyle w:val="13"/>
        <w:rPr>
          <w:b/>
          <w:bCs/>
          <w:sz w:val="23"/>
          <w:szCs w:val="23"/>
        </w:rPr>
      </w:pPr>
    </w:p>
    <w:p>
      <w:pPr>
        <w:pStyle w:val="13"/>
        <w:numPr>
          <w:ilvl w:val="0"/>
          <w:numId w:val="6"/>
        </w:numPr>
        <w:rPr>
          <w:sz w:val="23"/>
          <w:szCs w:val="23"/>
        </w:rPr>
      </w:pPr>
      <w:r>
        <w:rPr>
          <w:sz w:val="23"/>
          <w:szCs w:val="23"/>
        </w:rPr>
        <w:t>Bids must be received via e-mail</w:t>
      </w:r>
      <w:r>
        <w:rPr>
          <w:rFonts w:hint="default"/>
          <w:sz w:val="23"/>
          <w:szCs w:val="23"/>
          <w:lang w:val="en-US"/>
        </w:rPr>
        <w:t xml:space="preserve"> only</w:t>
      </w:r>
      <w:r>
        <w:rPr>
          <w:sz w:val="23"/>
          <w:szCs w:val="23"/>
        </w:rPr>
        <w:t xml:space="preserve"> at the </w:t>
      </w:r>
      <w:r>
        <w:rPr>
          <w:rFonts w:hint="default"/>
          <w:sz w:val="23"/>
          <w:szCs w:val="23"/>
          <w:lang w:val="en-US"/>
        </w:rPr>
        <w:t>above given e-mail</w:t>
      </w:r>
      <w:r>
        <w:rPr>
          <w:sz w:val="23"/>
          <w:szCs w:val="23"/>
        </w:rPr>
        <w:t xml:space="preserve"> address</w:t>
      </w:r>
      <w:r>
        <w:rPr>
          <w:rFonts w:hint="default"/>
          <w:sz w:val="23"/>
          <w:szCs w:val="23"/>
          <w:lang w:val="en-US"/>
        </w:rPr>
        <w:t xml:space="preserve"> (mentioned in the basic details)</w:t>
      </w:r>
      <w:r>
        <w:rPr>
          <w:sz w:val="23"/>
          <w:szCs w:val="23"/>
        </w:rPr>
        <w:t xml:space="preserve"> and by the date and time mentioned in the “Schedule of Events”. </w:t>
      </w:r>
    </w:p>
    <w:p>
      <w:pPr>
        <w:pStyle w:val="13"/>
        <w:numPr>
          <w:ilvl w:val="0"/>
          <w:numId w:val="6"/>
        </w:numPr>
        <w:rPr>
          <w:sz w:val="23"/>
          <w:szCs w:val="23"/>
        </w:rPr>
      </w:pPr>
      <w:r>
        <w:rPr>
          <w:sz w:val="23"/>
          <w:szCs w:val="23"/>
        </w:rPr>
        <w:t xml:space="preserve">In case the Bank extends the scheduled date of submission of Bid document, the Bids shall be submitted via </w:t>
      </w:r>
      <w:r>
        <w:rPr>
          <w:rFonts w:hint="default"/>
          <w:sz w:val="23"/>
          <w:szCs w:val="23"/>
          <w:lang w:val="en-US"/>
        </w:rPr>
        <w:t>e-</w:t>
      </w:r>
      <w:r>
        <w:rPr>
          <w:sz w:val="23"/>
          <w:szCs w:val="23"/>
        </w:rPr>
        <w:t>mail</w:t>
      </w:r>
      <w:r>
        <w:rPr>
          <w:rFonts w:hint="default"/>
          <w:sz w:val="23"/>
          <w:szCs w:val="23"/>
          <w:lang w:val="en-US"/>
        </w:rPr>
        <w:t xml:space="preserve"> only</w:t>
      </w:r>
      <w:r>
        <w:rPr>
          <w:sz w:val="23"/>
          <w:szCs w:val="23"/>
        </w:rPr>
        <w:t xml:space="preserve"> </w:t>
      </w:r>
      <w:r>
        <w:rPr>
          <w:rFonts w:hint="default"/>
          <w:sz w:val="23"/>
          <w:szCs w:val="23"/>
          <w:lang w:val="en-US"/>
        </w:rPr>
        <w:t>at the above given e-mail</w:t>
      </w:r>
      <w:r>
        <w:rPr>
          <w:sz w:val="23"/>
          <w:szCs w:val="23"/>
        </w:rPr>
        <w:t xml:space="preserve"> address</w:t>
      </w:r>
      <w:r>
        <w:rPr>
          <w:rFonts w:hint="default"/>
          <w:sz w:val="23"/>
          <w:szCs w:val="23"/>
          <w:lang w:val="en-US"/>
        </w:rPr>
        <w:t xml:space="preserve"> (mentioned in the basic details) </w:t>
      </w:r>
      <w:r>
        <w:rPr>
          <w:sz w:val="23"/>
          <w:szCs w:val="23"/>
        </w:rPr>
        <w:t xml:space="preserve"> by the time and date rescheduled. All rights and obligations of the Bank and Bidders will remain the same. </w:t>
      </w:r>
    </w:p>
    <w:p>
      <w:pPr>
        <w:pStyle w:val="13"/>
        <w:numPr>
          <w:ilvl w:val="0"/>
          <w:numId w:val="6"/>
        </w:numPr>
        <w:rPr>
          <w:sz w:val="23"/>
          <w:szCs w:val="23"/>
        </w:rPr>
      </w:pPr>
      <w:r>
        <w:rPr>
          <w:sz w:val="23"/>
          <w:szCs w:val="23"/>
        </w:rPr>
        <w:t xml:space="preserve">Any Bid received after the deadline for submission of Bids prescribed at the portal, will be rejected. </w:t>
      </w:r>
    </w:p>
    <w:p>
      <w:pPr>
        <w:pStyle w:val="13"/>
        <w:numPr>
          <w:ilvl w:val="0"/>
          <w:numId w:val="6"/>
        </w:numPr>
        <w:rPr>
          <w:sz w:val="23"/>
          <w:szCs w:val="23"/>
        </w:rPr>
      </w:pPr>
      <w:r>
        <w:rPr>
          <w:sz w:val="23"/>
          <w:szCs w:val="23"/>
        </w:rPr>
        <w:t xml:space="preserve">No modification in the Bid shall be allowed, after the deadline for submission of Bids. </w:t>
      </w:r>
    </w:p>
    <w:p>
      <w:pPr>
        <w:pStyle w:val="13"/>
        <w:numPr>
          <w:ilvl w:val="0"/>
          <w:numId w:val="6"/>
        </w:numPr>
        <w:rPr>
          <w:sz w:val="23"/>
          <w:szCs w:val="23"/>
        </w:rPr>
      </w:pPr>
      <w:r>
        <w:rPr>
          <w:sz w:val="23"/>
          <w:szCs w:val="23"/>
        </w:rPr>
        <w:t>The Bank reserves the right to accept or reject any Bid in part or in full or to cancel the bidding process and reject all Bids at any time prior to contract.</w:t>
      </w:r>
    </w:p>
    <w:p>
      <w:pPr>
        <w:pStyle w:val="13"/>
        <w:ind w:left="1080"/>
        <w:rPr>
          <w:sz w:val="23"/>
          <w:szCs w:val="23"/>
        </w:rPr>
      </w:pPr>
    </w:p>
    <w:p>
      <w:pPr>
        <w:pStyle w:val="2"/>
        <w:rPr>
          <w:b/>
          <w:bCs/>
        </w:rPr>
      </w:pPr>
      <w:bookmarkStart w:id="7" w:name="_Toc58703390"/>
      <w:r>
        <w:rPr>
          <w:b/>
          <w:bCs/>
        </w:rPr>
        <w:t>SERVICES:</w:t>
      </w:r>
      <w:bookmarkEnd w:id="7"/>
      <w:r>
        <w:rPr>
          <w:b/>
          <w:bCs/>
        </w:rPr>
        <w:t xml:space="preserve"> </w:t>
      </w:r>
    </w:p>
    <w:p>
      <w:pPr>
        <w:pStyle w:val="13"/>
        <w:rPr>
          <w:b/>
          <w:bCs/>
          <w:sz w:val="23"/>
          <w:szCs w:val="23"/>
        </w:rPr>
      </w:pPr>
    </w:p>
    <w:p>
      <w:pPr>
        <w:pStyle w:val="13"/>
        <w:numPr>
          <w:ilvl w:val="0"/>
          <w:numId w:val="7"/>
        </w:numPr>
        <w:rPr>
          <w:sz w:val="23"/>
          <w:szCs w:val="23"/>
        </w:rPr>
      </w:pPr>
      <w:r>
        <w:rPr>
          <w:sz w:val="23"/>
          <w:szCs w:val="23"/>
        </w:rPr>
        <w:t xml:space="preserve">Service Provider should ensure that the quality of methodologies for delivering the services, adhere to quality standards/timelines stipulated therefore. </w:t>
      </w:r>
    </w:p>
    <w:p>
      <w:pPr>
        <w:pStyle w:val="13"/>
        <w:numPr>
          <w:ilvl w:val="0"/>
          <w:numId w:val="7"/>
        </w:numPr>
        <w:rPr>
          <w:sz w:val="23"/>
          <w:szCs w:val="23"/>
        </w:rPr>
      </w:pPr>
      <w:r>
        <w:rPr>
          <w:sz w:val="23"/>
          <w:szCs w:val="23"/>
        </w:rPr>
        <w:t xml:space="preserve">Service Provider support staff should be well trained to effectively handle queries raised by the employees of the Bank. </w:t>
      </w:r>
    </w:p>
    <w:p>
      <w:pPr>
        <w:pStyle w:val="13"/>
        <w:rPr>
          <w:sz w:val="23"/>
          <w:szCs w:val="23"/>
        </w:rPr>
      </w:pPr>
    </w:p>
    <w:p>
      <w:pPr>
        <w:pStyle w:val="2"/>
        <w:rPr>
          <w:b/>
          <w:bCs/>
          <w:lang w:val="en-US" w:bidi="mr-IN"/>
        </w:rPr>
      </w:pPr>
      <w:bookmarkStart w:id="8" w:name="_Toc58703391"/>
      <w:r>
        <w:rPr>
          <w:b/>
          <w:bCs/>
          <w:lang w:val="en-US" w:bidi="mr-IN"/>
        </w:rPr>
        <w:t>CONFIDENTIALITY:</w:t>
      </w:r>
      <w:bookmarkEnd w:id="8"/>
      <w:r>
        <w:rPr>
          <w:b/>
          <w:bCs/>
          <w:lang w:val="en-US" w:bidi="mr-IN"/>
        </w:rPr>
        <w:t xml:space="preserve"> </w:t>
      </w:r>
    </w:p>
    <w:p>
      <w:pPr>
        <w:autoSpaceDE w:val="0"/>
        <w:autoSpaceDN w:val="0"/>
        <w:adjustRightInd w:val="0"/>
        <w:spacing w:after="0" w:line="240" w:lineRule="auto"/>
        <w:rPr>
          <w:rFonts w:ascii="Tahoma" w:hAnsi="Tahoma" w:cs="Tahoma"/>
          <w:b/>
          <w:bCs/>
          <w:color w:val="000000"/>
          <w:sz w:val="23"/>
          <w:szCs w:val="23"/>
          <w:lang w:val="en-US" w:bidi="mr-IN"/>
        </w:rPr>
      </w:pPr>
    </w:p>
    <w:p>
      <w:pPr>
        <w:pStyle w:val="12"/>
        <w:numPr>
          <w:ilvl w:val="0"/>
          <w:numId w:val="8"/>
        </w:numPr>
        <w:autoSpaceDE w:val="0"/>
        <w:autoSpaceDN w:val="0"/>
        <w:adjustRightInd w:val="0"/>
        <w:spacing w:after="0" w:line="240" w:lineRule="auto"/>
        <w:rPr>
          <w:rFonts w:ascii="Tahoma" w:hAnsi="Tahoma" w:cs="Tahoma"/>
          <w:color w:val="000000"/>
          <w:sz w:val="23"/>
          <w:szCs w:val="23"/>
          <w:lang w:val="en-US" w:bidi="mr-IN"/>
        </w:rPr>
      </w:pPr>
      <w:r>
        <w:rPr>
          <w:rFonts w:ascii="Tahoma" w:hAnsi="Tahoma" w:cs="Tahoma"/>
          <w:color w:val="000000"/>
          <w:sz w:val="23"/>
          <w:szCs w:val="23"/>
          <w:lang w:val="en-US" w:bidi="mr-IN"/>
        </w:rPr>
        <w:t>Confidentiality obligation shall be as per Non-disclosure agreement.</w:t>
      </w:r>
    </w:p>
    <w:p>
      <w:pPr>
        <w:autoSpaceDE w:val="0"/>
        <w:autoSpaceDN w:val="0"/>
        <w:adjustRightInd w:val="0"/>
        <w:spacing w:after="0" w:line="240" w:lineRule="auto"/>
        <w:rPr>
          <w:rFonts w:ascii="Tahoma" w:hAnsi="Tahoma" w:cs="Tahoma"/>
          <w:b/>
          <w:bCs/>
          <w:color w:val="000000"/>
          <w:sz w:val="23"/>
          <w:szCs w:val="23"/>
          <w:lang w:val="en-US" w:bidi="mr-IN"/>
        </w:rPr>
      </w:pPr>
    </w:p>
    <w:p>
      <w:pPr>
        <w:pStyle w:val="12"/>
        <w:ind w:left="1080"/>
        <w:rPr>
          <w:rFonts w:ascii="Tahoma" w:hAnsi="Tahoma" w:cs="Tahoma"/>
          <w:b/>
          <w:bCs/>
          <w:sz w:val="23"/>
          <w:szCs w:val="23"/>
        </w:rPr>
      </w:pPr>
    </w:p>
    <w:p>
      <w:pPr>
        <w:pStyle w:val="2"/>
        <w:rPr>
          <w:rFonts w:eastAsiaTheme="minorHAnsi"/>
          <w:b/>
          <w:bCs/>
          <w:lang w:val="en-US" w:bidi="mr-IN"/>
        </w:rPr>
      </w:pPr>
      <w:bookmarkStart w:id="9" w:name="_Toc58703392"/>
      <w:r>
        <w:rPr>
          <w:b/>
          <w:bCs/>
          <w:lang w:val="en-US" w:bidi="mr-IN"/>
        </w:rPr>
        <w:t>BANK’S IT SETUP</w:t>
      </w:r>
      <w:bookmarkEnd w:id="9"/>
    </w:p>
    <w:p>
      <w:pPr>
        <w:rPr>
          <w:rFonts w:ascii="Tahoma" w:hAnsi="Tahoma" w:cs="Tahoma"/>
          <w:b/>
          <w:bCs/>
          <w:color w:val="000000"/>
          <w:sz w:val="23"/>
          <w:szCs w:val="23"/>
          <w:lang w:val="en-US" w:bidi="mr-IN"/>
        </w:rPr>
      </w:pP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Branches: 16</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ATMs: 1</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Head Office: 1</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Data Center: 1</w:t>
      </w:r>
    </w:p>
    <w:p>
      <w:pPr>
        <w:pStyle w:val="12"/>
        <w:numPr>
          <w:ilvl w:val="0"/>
          <w:numId w:val="9"/>
        </w:numPr>
        <w:spacing w:after="0"/>
        <w:rPr>
          <w:rFonts w:ascii="Tahoma" w:hAnsi="Tahoma" w:cs="Tahoma"/>
          <w:color w:val="000000"/>
          <w:sz w:val="23"/>
          <w:szCs w:val="23"/>
          <w:lang w:val="en-US" w:bidi="mr-IN"/>
        </w:rPr>
      </w:pPr>
      <w:r>
        <w:rPr>
          <w:rFonts w:ascii="Tahoma" w:hAnsi="Tahoma" w:cs="Tahoma"/>
          <w:color w:val="000000"/>
          <w:sz w:val="23"/>
          <w:szCs w:val="23"/>
          <w:lang w:val="en-US" w:bidi="mr-IN"/>
        </w:rPr>
        <w:t>DR/Back Up Site: 1</w:t>
      </w: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pStyle w:val="12"/>
        <w:numPr>
          <w:ilvl w:val="0"/>
          <w:numId w:val="10"/>
        </w:numPr>
        <w:tabs>
          <w:tab w:val="left" w:pos="900"/>
        </w:tabs>
        <w:spacing w:after="0"/>
        <w:ind w:left="800" w:leftChars="0" w:firstLineChars="0"/>
        <w:rPr>
          <w:rFonts w:ascii="Tahoma" w:hAnsi="Tahoma" w:cs="Tahoma"/>
          <w:b/>
          <w:bCs/>
          <w:color w:val="000000"/>
          <w:sz w:val="23"/>
          <w:szCs w:val="23"/>
          <w:lang w:val="en-US" w:bidi="mr-IN"/>
        </w:rPr>
      </w:pPr>
      <w:r>
        <w:rPr>
          <w:rFonts w:ascii="Tahoma" w:hAnsi="Tahoma" w:cs="Tahoma"/>
          <w:b/>
          <w:bCs/>
          <w:color w:val="000000"/>
          <w:sz w:val="23"/>
          <w:szCs w:val="23"/>
          <w:lang w:val="en-US" w:bidi="mr-IN"/>
        </w:rPr>
        <w:t>IT Assets of Bank</w:t>
      </w:r>
    </w:p>
    <w:p>
      <w:pPr>
        <w:spacing w:after="0"/>
        <w:rPr>
          <w:rFonts w:ascii="Tahoma" w:hAnsi="Tahoma" w:cs="Tahoma"/>
          <w:color w:val="000000"/>
          <w:sz w:val="23"/>
          <w:szCs w:val="23"/>
          <w:lang w:val="en-US" w:bidi="mr-IN"/>
        </w:rPr>
      </w:pPr>
    </w:p>
    <w:tbl>
      <w:tblPr>
        <w:tblStyle w:val="9"/>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shd w:val="clear" w:color="auto" w:fill="C3BD96" w:themeFill="background2" w:themeFillShade="BF"/>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Asset</w:t>
            </w:r>
          </w:p>
        </w:tc>
        <w:tc>
          <w:tcPr>
            <w:tcW w:w="4508" w:type="dxa"/>
            <w:shd w:val="clear" w:color="auto" w:fill="C3BD96" w:themeFill="background2" w:themeFillShade="BF"/>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Qty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Desktops / Laptops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Clients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80-85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Routers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16 primary+16 sec+ 1 DC=33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Switches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Firewall</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Servers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DC Site Applications (CBS)</w:t>
            </w:r>
          </w:p>
        </w:tc>
        <w:tc>
          <w:tcPr>
            <w:tcW w:w="4508" w:type="dxa"/>
          </w:tcPr>
          <w:p>
            <w:pPr>
              <w:pStyle w:val="12"/>
              <w:tabs>
                <w:tab w:val="left" w:pos="1103"/>
              </w:tabs>
              <w:ind w:left="0"/>
              <w:rPr>
                <w:rFonts w:ascii="Tahoma" w:hAnsi="Tahoma" w:cs="Tahoma"/>
                <w:color w:val="000000"/>
                <w:sz w:val="23"/>
                <w:szCs w:val="23"/>
                <w:lang w:val="en-US" w:bidi="mr-IN"/>
              </w:rPr>
            </w:pPr>
            <w:r>
              <w:rPr>
                <w:rFonts w:ascii="Tahoma" w:hAnsi="Tahoma" w:cs="Tahoma"/>
                <w:color w:val="000000"/>
                <w:sz w:val="23"/>
                <w:szCs w:val="23"/>
                <w:lang w:val="en-US" w:bidi="mr-I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Data Base</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Linux Cent 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Email Application</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Servers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Applications (CBS)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Data Base</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Replication Purpose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Email Application</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bl>
    <w:p>
      <w:pPr>
        <w:rPr>
          <w:rFonts w:ascii="Tahoma" w:hAnsi="Tahoma" w:cs="Tahoma"/>
          <w:sz w:val="23"/>
          <w:szCs w:val="23"/>
        </w:rPr>
      </w:pPr>
    </w:p>
    <w:p>
      <w:pPr>
        <w:rPr>
          <w:rFonts w:ascii="Tahoma" w:hAnsi="Tahoma" w:cs="Tahoma"/>
          <w:sz w:val="23"/>
          <w:szCs w:val="23"/>
        </w:rPr>
      </w:pPr>
    </w:p>
    <w:p>
      <w:pPr>
        <w:pStyle w:val="12"/>
        <w:numPr>
          <w:ilvl w:val="0"/>
          <w:numId w:val="10"/>
        </w:numPr>
        <w:spacing w:after="0"/>
        <w:ind w:left="800" w:leftChars="0" w:firstLineChars="0"/>
        <w:rPr>
          <w:rFonts w:ascii="Tahoma" w:hAnsi="Tahoma" w:cs="Tahoma"/>
          <w:b/>
          <w:bCs/>
          <w:color w:val="000000"/>
          <w:sz w:val="23"/>
          <w:szCs w:val="23"/>
          <w:lang w:val="en-US" w:bidi="mr-IN"/>
        </w:rPr>
      </w:pPr>
      <w:r>
        <w:rPr>
          <w:rFonts w:ascii="Tahoma" w:hAnsi="Tahoma" w:cs="Tahoma"/>
          <w:b/>
          <w:bCs/>
          <w:color w:val="000000"/>
          <w:sz w:val="23"/>
          <w:szCs w:val="23"/>
          <w:lang w:val="en-US" w:bidi="mr-IN"/>
        </w:rPr>
        <w:t>Existing Software Running in the Bank</w:t>
      </w:r>
    </w:p>
    <w:p>
      <w:pPr>
        <w:rPr>
          <w:rFonts w:ascii="Tahoma" w:hAnsi="Tahoma" w:cs="Tahoma"/>
          <w:sz w:val="23"/>
          <w:szCs w:val="23"/>
        </w:rPr>
      </w:pPr>
    </w:p>
    <w:tbl>
      <w:tblPr>
        <w:tblStyle w:val="9"/>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0"/>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br w:type="page"/>
            </w:r>
            <w:r>
              <w:rPr>
                <w:rFonts w:ascii="Tahoma" w:hAnsi="Tahoma" w:cs="Tahoma"/>
                <w:sz w:val="23"/>
                <w:szCs w:val="23"/>
              </w:rPr>
              <w:t xml:space="preserve">CBS </w:t>
            </w:r>
          </w:p>
        </w:tc>
        <w:tc>
          <w:tcPr>
            <w:tcW w:w="4788" w:type="dxa"/>
          </w:tcPr>
          <w:p>
            <w:pPr>
              <w:rPr>
                <w:rFonts w:ascii="Tahoma" w:hAnsi="Tahoma"/>
                <w:sz w:val="23"/>
                <w:szCs w:val="20"/>
                <w:lang w:val="en-US" w:bidi="mr-IN"/>
              </w:rPr>
            </w:pPr>
            <w:r>
              <w:rPr>
                <w:rFonts w:ascii="Tahoma" w:hAnsi="Tahoma"/>
                <w:sz w:val="23"/>
                <w:szCs w:val="20"/>
                <w:lang w:val="en-US" w:bidi="mr-IN"/>
              </w:rPr>
              <w:t>M/S.Gayatri Infotech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CBS Modules currently implemented</w:t>
            </w:r>
          </w:p>
        </w:tc>
        <w:tc>
          <w:tcPr>
            <w:tcW w:w="4788" w:type="dxa"/>
          </w:tcPr>
          <w:p>
            <w:pPr>
              <w:rPr>
                <w:rFonts w:hint="default" w:ascii="Tahoma" w:hAnsi="Tahoma"/>
                <w:sz w:val="23"/>
                <w:szCs w:val="20"/>
                <w:cs/>
                <w:lang w:val="en-US" w:bidi="mr-IN"/>
              </w:rPr>
            </w:pPr>
            <w:r>
              <w:rPr>
                <w:rFonts w:hint="default" w:ascii="Tahoma" w:hAnsi="Tahoma"/>
                <w:sz w:val="23"/>
                <w:szCs w:val="20"/>
                <w:lang w:val="en-US" w:bidi="mr-IN"/>
              </w:rPr>
              <w:t>Sutradhar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Operating Systems at DC</w:t>
            </w:r>
          </w:p>
        </w:tc>
        <w:tc>
          <w:tcPr>
            <w:tcW w:w="4788" w:type="dxa"/>
          </w:tcPr>
          <w:p>
            <w:pPr>
              <w:rPr>
                <w:rFonts w:ascii="Tahoma" w:hAnsi="Tahoma"/>
                <w:sz w:val="23"/>
                <w:szCs w:val="20"/>
                <w:lang w:val="en-US" w:bidi="mr-IN"/>
              </w:rPr>
            </w:pPr>
            <w:r>
              <w:rPr>
                <w:rFonts w:ascii="Tahoma" w:hAnsi="Tahoma"/>
                <w:sz w:val="23"/>
                <w:szCs w:val="20"/>
                <w:lang w:val="en-US" w:bidi="mr-IN"/>
              </w:rPr>
              <w:t>Windows Server 2012-R2,Win-8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Operating Systems at Branches</w:t>
            </w:r>
          </w:p>
        </w:tc>
        <w:tc>
          <w:tcPr>
            <w:tcW w:w="4788" w:type="dxa"/>
          </w:tcPr>
          <w:p>
            <w:pPr>
              <w:rPr>
                <w:rFonts w:ascii="Tahoma" w:hAnsi="Tahoma"/>
                <w:sz w:val="23"/>
                <w:szCs w:val="20"/>
                <w:lang w:val="en-US" w:bidi="mr-IN"/>
              </w:rPr>
            </w:pPr>
            <w:r>
              <w:rPr>
                <w:rFonts w:ascii="Tahoma" w:hAnsi="Tahoma"/>
                <w:sz w:val="23"/>
                <w:szCs w:val="20"/>
                <w:lang w:val="en-US" w:bidi="mr-IN"/>
              </w:rPr>
              <w:t>Windows XP ,7,10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Delivery Channels</w:t>
            </w:r>
          </w:p>
        </w:tc>
        <w:tc>
          <w:tcPr>
            <w:tcW w:w="4788" w:type="dxa"/>
          </w:tcPr>
          <w:p>
            <w:pPr>
              <w:rPr>
                <w:rFonts w:ascii="Tahoma" w:hAnsi="Tahoma"/>
                <w:sz w:val="23"/>
                <w:szCs w:val="20"/>
                <w:lang w:val="en-US" w:bidi="mr-IN"/>
              </w:rPr>
            </w:pPr>
            <w:r>
              <w:rPr>
                <w:rFonts w:ascii="Tahoma" w:hAnsi="Tahoma"/>
                <w:sz w:val="23"/>
                <w:szCs w:val="20"/>
                <w:lang w:val="en-US" w:bidi="mr-IN"/>
              </w:rPr>
              <w:t>ATM,ECOM,POS .</w:t>
            </w:r>
          </w:p>
        </w:tc>
      </w:tr>
    </w:tbl>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pStyle w:val="12"/>
        <w:numPr>
          <w:ilvl w:val="0"/>
          <w:numId w:val="10"/>
        </w:numPr>
        <w:spacing w:after="0"/>
        <w:ind w:left="800" w:leftChars="0" w:firstLineChars="0"/>
        <w:rPr>
          <w:rFonts w:ascii="Tahoma" w:hAnsi="Tahoma" w:cs="Tahoma"/>
          <w:b/>
          <w:bCs/>
          <w:color w:val="000000"/>
          <w:sz w:val="23"/>
          <w:szCs w:val="23"/>
          <w:lang w:val="en-US" w:bidi="mr-IN"/>
        </w:rPr>
      </w:pPr>
      <w:r>
        <w:rPr>
          <w:rFonts w:ascii="Tahoma" w:hAnsi="Tahoma" w:cs="Tahoma"/>
          <w:b/>
          <w:bCs/>
          <w:color w:val="000000"/>
          <w:sz w:val="23"/>
          <w:szCs w:val="23"/>
          <w:lang w:val="en-US" w:bidi="mr-IN"/>
        </w:rPr>
        <w:t>Existing Network Connectivity in the Bank</w:t>
      </w:r>
    </w:p>
    <w:p>
      <w:pPr>
        <w:pStyle w:val="12"/>
        <w:spacing w:after="0"/>
        <w:rPr>
          <w:rFonts w:ascii="Tahoma" w:hAnsi="Tahoma" w:cs="Tahoma"/>
          <w:b/>
          <w:bCs/>
          <w:color w:val="000000"/>
          <w:sz w:val="23"/>
          <w:szCs w:val="23"/>
          <w:lang w:val="en-US" w:bidi="mr-IN"/>
        </w:rPr>
      </w:pPr>
    </w:p>
    <w:tbl>
      <w:tblPr>
        <w:tblStyle w:val="9"/>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0"/>
        <w:gridCol w:w="4788"/>
      </w:tblGrid>
      <w:tr>
        <w:tblPrEx>
          <w:tblCellMar>
            <w:top w:w="0" w:type="dxa"/>
            <w:left w:w="108" w:type="dxa"/>
            <w:bottom w:w="0" w:type="dxa"/>
            <w:right w:w="108" w:type="dxa"/>
          </w:tblCellMar>
        </w:tblPrEx>
        <w:tc>
          <w:tcPr>
            <w:tcW w:w="8838" w:type="dxa"/>
            <w:gridSpan w:val="2"/>
          </w:tcPr>
          <w:p>
            <w:pPr>
              <w:rPr>
                <w:rFonts w:ascii="Tahoma" w:hAnsi="Tahoma" w:cs="Tahoma"/>
                <w:sz w:val="23"/>
                <w:szCs w:val="23"/>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Lease Line</w:t>
            </w:r>
          </w:p>
        </w:tc>
        <w:tc>
          <w:tcPr>
            <w:tcW w:w="4788" w:type="dxa"/>
          </w:tcPr>
          <w:p>
            <w:pPr>
              <w:rPr>
                <w:rFonts w:ascii="Tahoma" w:hAnsi="Tahoma" w:cs="Tahoma"/>
                <w:sz w:val="23"/>
                <w:szCs w:val="23"/>
              </w:rPr>
            </w:pPr>
            <w:r>
              <w:rPr>
                <w:rFonts w:ascii="Tahoma" w:hAnsi="Tahoma" w:cs="Tahoma"/>
                <w:sz w:val="23"/>
                <w:szCs w:val="23"/>
              </w:rPr>
              <w:t>Broadband(IPSEC VPN)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p>
        </w:tc>
        <w:tc>
          <w:tcPr>
            <w:tcW w:w="4788" w:type="dxa"/>
          </w:tcPr>
          <w:p>
            <w:pPr>
              <w:rPr>
                <w:rFonts w:ascii="Tahoma" w:hAnsi="Tahoma" w:cs="Tahoma"/>
                <w:sz w:val="23"/>
                <w:szCs w:val="23"/>
              </w:rPr>
            </w:pPr>
          </w:p>
        </w:tc>
      </w:tr>
    </w:tbl>
    <w:p>
      <w:pPr>
        <w:pStyle w:val="12"/>
        <w:numPr>
          <w:ilvl w:val="0"/>
          <w:numId w:val="0"/>
        </w:numPr>
        <w:spacing w:after="0"/>
        <w:ind w:left="440" w:leftChars="0"/>
        <w:rPr>
          <w:rFonts w:ascii="Tahoma" w:hAnsi="Tahoma" w:cs="Tahoma"/>
          <w:b/>
          <w:bCs/>
          <w:color w:val="000000"/>
          <w:sz w:val="23"/>
          <w:szCs w:val="23"/>
          <w:lang w:val="en-US" w:bidi="mr-IN"/>
        </w:rPr>
      </w:pPr>
      <w:bookmarkStart w:id="10" w:name="_Toc58703393"/>
      <w:bookmarkStart w:id="11" w:name="_Toc58302052"/>
    </w:p>
    <w:p>
      <w:pPr>
        <w:pStyle w:val="12"/>
        <w:numPr>
          <w:ilvl w:val="0"/>
          <w:numId w:val="0"/>
        </w:numPr>
        <w:spacing w:after="0"/>
        <w:ind w:left="440" w:leftChars="0"/>
        <w:rPr>
          <w:rFonts w:ascii="Tahoma" w:hAnsi="Tahoma" w:cs="Tahoma"/>
          <w:b/>
          <w:bCs/>
          <w:color w:val="000000"/>
          <w:sz w:val="23"/>
          <w:szCs w:val="23"/>
          <w:lang w:val="en-US" w:bidi="mr-IN"/>
        </w:rPr>
      </w:pPr>
    </w:p>
    <w:p>
      <w:pPr>
        <w:pStyle w:val="12"/>
        <w:numPr>
          <w:ilvl w:val="0"/>
          <w:numId w:val="0"/>
        </w:numPr>
        <w:spacing w:after="0"/>
        <w:ind w:left="440" w:leftChars="0"/>
        <w:rPr>
          <w:rFonts w:ascii="Tahoma" w:hAnsi="Tahoma" w:cs="Tahoma"/>
          <w:b/>
          <w:bCs/>
          <w:color w:val="000000"/>
          <w:sz w:val="23"/>
          <w:szCs w:val="23"/>
          <w:lang w:val="en-US" w:bidi="mr-IN"/>
        </w:rPr>
      </w:pPr>
    </w:p>
    <w:p>
      <w:pPr>
        <w:pStyle w:val="12"/>
        <w:numPr>
          <w:ilvl w:val="0"/>
          <w:numId w:val="10"/>
        </w:numPr>
        <w:spacing w:after="0"/>
        <w:ind w:left="800" w:leftChars="0" w:firstLineChars="0"/>
        <w:rPr>
          <w:rFonts w:ascii="Tahoma" w:hAnsi="Tahoma" w:cs="Tahoma"/>
          <w:b/>
          <w:bCs/>
          <w:color w:val="000000"/>
          <w:sz w:val="23"/>
          <w:szCs w:val="23"/>
          <w:lang w:val="en-US" w:bidi="mr-IN"/>
        </w:rPr>
      </w:pPr>
      <w:r>
        <w:rPr>
          <w:rFonts w:hint="default" w:ascii="Tahoma" w:hAnsi="Tahoma" w:cs="Tahoma"/>
          <w:b/>
          <w:bCs/>
          <w:color w:val="000000"/>
          <w:sz w:val="23"/>
          <w:szCs w:val="23"/>
          <w:lang w:val="en-US" w:bidi="mr-IN"/>
        </w:rPr>
        <w:t>Bank’s Website</w:t>
      </w:r>
    </w:p>
    <w:p>
      <w:pPr>
        <w:pStyle w:val="2"/>
        <w:rPr>
          <w:b/>
          <w:bCs/>
          <w:lang w:bidi="mr-IN"/>
        </w:rPr>
      </w:pPr>
    </w:p>
    <w:p>
      <w:pPr>
        <w:pStyle w:val="2"/>
        <w:rPr>
          <w:b/>
          <w:bCs/>
          <w:lang w:bidi="mr-IN"/>
        </w:rPr>
      </w:pPr>
      <w:r>
        <w:rPr>
          <w:b/>
          <w:bCs/>
          <w:lang w:bidi="mr-IN"/>
        </w:rPr>
        <w:t xml:space="preserve">Appendix </w:t>
      </w:r>
      <w:r>
        <w:rPr>
          <w:b/>
          <w:bCs/>
        </w:rPr>
        <w:t>–</w:t>
      </w:r>
      <w:r>
        <w:rPr>
          <w:b/>
          <w:bCs/>
          <w:lang w:bidi="mr-IN"/>
        </w:rPr>
        <w:t xml:space="preserve"> A</w:t>
      </w:r>
      <w:r>
        <w:rPr>
          <w:b/>
          <w:bCs/>
        </w:rPr>
        <w:t>-</w:t>
      </w:r>
      <w:r>
        <w:rPr>
          <w:b/>
          <w:bCs/>
          <w:lang w:bidi="mr-IN"/>
        </w:rPr>
        <w:t>Scope of Work</w:t>
      </w:r>
      <w:bookmarkEnd w:id="10"/>
      <w:bookmarkEnd w:id="11"/>
    </w:p>
    <w:p>
      <w:pPr>
        <w:rPr>
          <w:rFonts w:ascii="Tahoma" w:hAnsi="Tahoma" w:cs="Tahoma"/>
          <w:color w:val="000000"/>
          <w:sz w:val="23"/>
          <w:szCs w:val="23"/>
          <w:lang w:val="en-US" w:bidi="mr-IN"/>
        </w:rPr>
      </w:pPr>
    </w:p>
    <w:p>
      <w:pPr>
        <w:pStyle w:val="12"/>
        <w:numPr>
          <w:ilvl w:val="0"/>
          <w:numId w:val="11"/>
        </w:numPr>
        <w:rPr>
          <w:rFonts w:ascii="Tahoma" w:hAnsi="Tahoma" w:cs="Tahoma"/>
          <w:color w:val="000000"/>
          <w:sz w:val="23"/>
          <w:szCs w:val="23"/>
          <w:lang w:val="en-US" w:bidi="mr-IN"/>
        </w:rPr>
      </w:pPr>
      <w:r>
        <w:rPr>
          <w:rFonts w:hint="default" w:ascii="Tahoma" w:hAnsi="Tahoma" w:cs="Tahoma"/>
          <w:color w:val="000000"/>
          <w:sz w:val="23"/>
          <w:szCs w:val="23"/>
          <w:lang w:val="en-US"/>
        </w:rPr>
        <w:t>VA &amp; PT of bank’s website, critical IT Infrastructure Components and Recommendations.</w:t>
      </w:r>
      <w:r>
        <w:rPr>
          <w:rFonts w:hint="default" w:ascii="Tahoma" w:hAnsi="Tahoma" w:cs="Tahoma"/>
          <w:color w:val="000000"/>
          <w:sz w:val="23"/>
          <w:szCs w:val="23"/>
          <w:lang w:val="en-US" w:bidi="mr-IN"/>
        </w:rPr>
        <w:t>.</w:t>
      </w:r>
    </w:p>
    <w:p>
      <w:pPr>
        <w:pStyle w:val="12"/>
        <w:rPr>
          <w:rFonts w:ascii="Tahoma" w:hAnsi="Tahoma" w:cs="Tahoma"/>
          <w:color w:val="000000"/>
          <w:sz w:val="23"/>
          <w:szCs w:val="23"/>
          <w:lang w:val="en-US" w:bidi="mr-IN"/>
        </w:rPr>
      </w:pPr>
    </w:p>
    <w:tbl>
      <w:tblPr>
        <w:tblStyle w:val="9"/>
        <w:tblW w:w="8199"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834" w:type="dxa"/>
            <w:shd w:val="clear" w:color="auto" w:fill="9BBB59" w:themeFill="accent3"/>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Item No.</w:t>
            </w:r>
          </w:p>
        </w:tc>
        <w:tc>
          <w:tcPr>
            <w:tcW w:w="7365" w:type="dxa"/>
            <w:shd w:val="clear" w:color="auto" w:fill="9BBB59" w:themeFill="accent3"/>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834"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c>
          <w:tcPr>
            <w:tcW w:w="7365"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rPr>
              <w:t>VA &amp; PT of bank’s website, critical IT Infrastructure Components and Recommendations.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34"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2</w:t>
            </w:r>
          </w:p>
        </w:tc>
        <w:tc>
          <w:tcPr>
            <w:tcW w:w="7365"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Submission of VA &amp; PT and Recommendation Reports.</w:t>
            </w:r>
          </w:p>
        </w:tc>
      </w:tr>
    </w:tbl>
    <w:p>
      <w:pPr>
        <w:pStyle w:val="12"/>
        <w:rPr>
          <w:rFonts w:ascii="Tahoma" w:hAnsi="Tahoma" w:cs="Tahoma"/>
          <w:sz w:val="23"/>
          <w:szCs w:val="23"/>
        </w:rPr>
      </w:pPr>
    </w:p>
    <w:p>
      <w:pPr>
        <w:pStyle w:val="12"/>
        <w:rPr>
          <w:rFonts w:ascii="Tahoma" w:hAnsi="Tahoma" w:cs="Tahoma"/>
          <w:sz w:val="23"/>
          <w:szCs w:val="23"/>
        </w:rPr>
      </w:pPr>
    </w:p>
    <w:p>
      <w:pPr>
        <w:pStyle w:val="12"/>
        <w:rPr>
          <w:rFonts w:ascii="Tahoma" w:hAnsi="Tahoma" w:cs="Tahoma"/>
          <w:sz w:val="23"/>
          <w:szCs w:val="23"/>
        </w:rPr>
      </w:pPr>
    </w:p>
    <w:p>
      <w:pPr>
        <w:rPr>
          <w:rFonts w:hint="default" w:ascii="Tahoma" w:hAnsi="Tahoma"/>
          <w:b/>
          <w:bCs/>
          <w:sz w:val="24"/>
          <w:szCs w:val="24"/>
          <w:u w:val="single"/>
          <w:lang w:val="en-US" w:bidi="mr-IN"/>
        </w:rPr>
      </w:pPr>
      <w:r>
        <w:rPr>
          <w:rFonts w:hint="default" w:ascii="Tahoma" w:hAnsi="Tahoma"/>
          <w:b/>
          <w:bCs/>
          <w:sz w:val="24"/>
          <w:szCs w:val="24"/>
          <w:u w:val="single"/>
          <w:lang w:val="en-US" w:bidi="mr-IN"/>
        </w:rPr>
        <w:t xml:space="preserve">Note : Bank will give preference to the vendor who is technically qualified &amp; on the basis of merits during the selection process. </w:t>
      </w:r>
    </w:p>
    <w:p>
      <w:pPr>
        <w:rPr>
          <w:rFonts w:ascii="Tahoma" w:hAnsi="Tahoma"/>
          <w:sz w:val="23"/>
          <w:szCs w:val="20"/>
          <w:lang w:bidi="mr-IN"/>
        </w:rPr>
      </w:pPr>
    </w:p>
    <w:p>
      <w:pPr>
        <w:rPr>
          <w:rFonts w:ascii="Tahoma" w:hAnsi="Tahoma"/>
          <w:sz w:val="23"/>
          <w:szCs w:val="20"/>
          <w:lang w:bidi="mr-IN"/>
        </w:rPr>
      </w:pPr>
    </w:p>
    <w:p>
      <w:pPr>
        <w:rPr>
          <w:rFonts w:ascii="Tahoma" w:hAnsi="Tahoma"/>
          <w:sz w:val="23"/>
          <w:szCs w:val="20"/>
          <w:lang w:bidi="mr-IN"/>
        </w:rPr>
      </w:pPr>
    </w:p>
    <w:p>
      <w:pPr>
        <w:pStyle w:val="12"/>
        <w:rPr>
          <w:rFonts w:ascii="Tahoma" w:hAnsi="Tahoma"/>
          <w:b/>
          <w:bCs/>
          <w:sz w:val="32"/>
          <w:szCs w:val="28"/>
          <w:lang w:bidi="mr-IN"/>
        </w:rPr>
      </w:pPr>
    </w:p>
    <w:sectPr>
      <w:footerReference r:id="rId5" w:type="default"/>
      <w:pgSz w:w="12240" w:h="15840"/>
      <w:pgMar w:top="1440" w:right="1440" w:bottom="1440" w:left="1440" w:header="720" w:footer="720" w:gutter="0"/>
      <w:pgBorders w:display="firstPage"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angal">
    <w:panose1 w:val="00000400000000000000"/>
    <w:charset w:val="01"/>
    <w:family w:val="roman"/>
    <w:pitch w:val="default"/>
    <w:sig w:usb0="00008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92340"/>
      <w:docPartObj>
        <w:docPartGallery w:val="autotext"/>
      </w:docPartObj>
    </w:sdtPr>
    <w:sdtContent>
      <w:p>
        <w:pPr>
          <w:pStyle w:val="6"/>
          <w:jc w:val="right"/>
        </w:pPr>
        <w:r>
          <w:fldChar w:fldCharType="begin"/>
        </w:r>
        <w:r>
          <w:instrText xml:space="preserve"> PAGE   \* MERGEFORMAT </w:instrText>
        </w:r>
        <w:r>
          <w:fldChar w:fldCharType="separate"/>
        </w:r>
        <w:r>
          <w:t>1</w:t>
        </w:r>
        <w: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C103E"/>
    <w:multiLevelType w:val="singleLevel"/>
    <w:tmpl w:val="B02C103E"/>
    <w:lvl w:ilvl="0" w:tentative="0">
      <w:start w:val="1"/>
      <w:numFmt w:val="lowerRoman"/>
      <w:suff w:val="space"/>
      <w:lvlText w:val="%1."/>
      <w:lvlJc w:val="left"/>
    </w:lvl>
  </w:abstractNum>
  <w:abstractNum w:abstractNumId="1">
    <w:nsid w:val="BBF805BB"/>
    <w:multiLevelType w:val="multilevel"/>
    <w:tmpl w:val="BBF805BB"/>
    <w:lvl w:ilvl="0" w:tentative="0">
      <w:start w:val="1"/>
      <w:numFmt w:val="lowerRoman"/>
      <w:lvlText w:val="%1."/>
      <w:lvlJc w:val="left"/>
      <w:rPr>
        <w:rFonts w:ascii="Tahoma" w:hAnsi="Tahoma" w:cs="Tahoma" w:eastAsiaTheme="minorHAnsi"/>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D92AC11B"/>
    <w:multiLevelType w:val="multilevel"/>
    <w:tmpl w:val="D92AC11B"/>
    <w:lvl w:ilvl="0" w:tentative="0">
      <w:start w:val="1"/>
      <w:numFmt w:val="lowerLetter"/>
      <w:lvlText w:val="%1)"/>
      <w:lvlJc w:val="left"/>
      <w:rPr>
        <w:rFonts w:ascii="Tahoma" w:hAnsi="Tahoma" w:cs="Tahoma" w:eastAsiaTheme="minorHAnsi"/>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F1413F"/>
    <w:multiLevelType w:val="multilevel"/>
    <w:tmpl w:val="00F141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F903FF4"/>
    <w:multiLevelType w:val="multilevel"/>
    <w:tmpl w:val="0F903FF4"/>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FE60B40"/>
    <w:multiLevelType w:val="multilevel"/>
    <w:tmpl w:val="0FE60B40"/>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8966198"/>
    <w:multiLevelType w:val="multilevel"/>
    <w:tmpl w:val="28966198"/>
    <w:lvl w:ilvl="0" w:tentative="0">
      <w:start w:val="1"/>
      <w:numFmt w:val="lowerRoman"/>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28C12331"/>
    <w:multiLevelType w:val="multilevel"/>
    <w:tmpl w:val="28C12331"/>
    <w:lvl w:ilvl="0" w:tentative="0">
      <w:start w:val="1"/>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7E93CED"/>
    <w:multiLevelType w:val="multilevel"/>
    <w:tmpl w:val="57E93CED"/>
    <w:lvl w:ilvl="0" w:tentative="0">
      <w:start w:val="1"/>
      <w:numFmt w:val="bullet"/>
      <w:lvlText w:val=""/>
      <w:lvlJc w:val="left"/>
      <w:pPr>
        <w:ind w:left="720" w:hanging="360"/>
      </w:pPr>
      <w:rPr>
        <w:rFonts w:hint="default" w:ascii="Symbol" w:hAnsi="Symbol" w:cs="Tahoma" w:eastAsiaTheme="minorHAnsi"/>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2BA5463"/>
    <w:multiLevelType w:val="multilevel"/>
    <w:tmpl w:val="62BA5463"/>
    <w:lvl w:ilvl="0" w:tentative="0">
      <w:start w:val="1"/>
      <w:numFmt w:val="decimal"/>
      <w:lvlText w:val="%1."/>
      <w:lvlJc w:val="left"/>
      <w:pPr>
        <w:ind w:left="8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03B5B4C"/>
    <w:multiLevelType w:val="multilevel"/>
    <w:tmpl w:val="703B5B4C"/>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7"/>
  </w:num>
  <w:num w:numId="3">
    <w:abstractNumId w:val="2"/>
  </w:num>
  <w:num w:numId="4">
    <w:abstractNumId w:val="6"/>
  </w:num>
  <w:num w:numId="5">
    <w:abstractNumId w:val="1"/>
  </w:num>
  <w:num w:numId="6">
    <w:abstractNumId w:val="5"/>
  </w:num>
  <w:num w:numId="7">
    <w:abstractNumId w:val="10"/>
  </w:num>
  <w:num w:numId="8">
    <w:abstractNumId w:val="0"/>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5D0356"/>
    <w:rsid w:val="000915B6"/>
    <w:rsid w:val="000A6B17"/>
    <w:rsid w:val="00123B8C"/>
    <w:rsid w:val="00140F5B"/>
    <w:rsid w:val="00156420"/>
    <w:rsid w:val="00165434"/>
    <w:rsid w:val="001B5011"/>
    <w:rsid w:val="002C2B6D"/>
    <w:rsid w:val="002F2113"/>
    <w:rsid w:val="00387D5C"/>
    <w:rsid w:val="00424670"/>
    <w:rsid w:val="005557F3"/>
    <w:rsid w:val="005703AF"/>
    <w:rsid w:val="005D0356"/>
    <w:rsid w:val="00744ED6"/>
    <w:rsid w:val="00767060"/>
    <w:rsid w:val="007F4086"/>
    <w:rsid w:val="008446BC"/>
    <w:rsid w:val="008D37FB"/>
    <w:rsid w:val="00920209"/>
    <w:rsid w:val="009A7B3A"/>
    <w:rsid w:val="009C36F8"/>
    <w:rsid w:val="00A04DC3"/>
    <w:rsid w:val="00A66847"/>
    <w:rsid w:val="00A92586"/>
    <w:rsid w:val="00A92817"/>
    <w:rsid w:val="00AF3949"/>
    <w:rsid w:val="00AF4691"/>
    <w:rsid w:val="00B3413D"/>
    <w:rsid w:val="00B54F48"/>
    <w:rsid w:val="00B66C68"/>
    <w:rsid w:val="00B94C5C"/>
    <w:rsid w:val="00C07CA3"/>
    <w:rsid w:val="00C2075A"/>
    <w:rsid w:val="00C2616C"/>
    <w:rsid w:val="00C300EB"/>
    <w:rsid w:val="00C324BF"/>
    <w:rsid w:val="00C40913"/>
    <w:rsid w:val="00C8655C"/>
    <w:rsid w:val="00CA5FE2"/>
    <w:rsid w:val="00CF0343"/>
    <w:rsid w:val="00D160F4"/>
    <w:rsid w:val="00D74DBD"/>
    <w:rsid w:val="00D76F8D"/>
    <w:rsid w:val="00E71D26"/>
    <w:rsid w:val="00EE5843"/>
    <w:rsid w:val="00FD14D9"/>
    <w:rsid w:val="0459466D"/>
    <w:rsid w:val="06782030"/>
    <w:rsid w:val="06BE5F62"/>
    <w:rsid w:val="09C62939"/>
    <w:rsid w:val="17D765E0"/>
    <w:rsid w:val="1B135A09"/>
    <w:rsid w:val="1B2D3D75"/>
    <w:rsid w:val="20093EA6"/>
    <w:rsid w:val="219141DD"/>
    <w:rsid w:val="223A0D77"/>
    <w:rsid w:val="28843313"/>
    <w:rsid w:val="2D5D0B6A"/>
    <w:rsid w:val="31F4766A"/>
    <w:rsid w:val="34594430"/>
    <w:rsid w:val="356202E4"/>
    <w:rsid w:val="3C516C9C"/>
    <w:rsid w:val="3CC26243"/>
    <w:rsid w:val="459A6F22"/>
    <w:rsid w:val="475C4F9C"/>
    <w:rsid w:val="486A0A12"/>
    <w:rsid w:val="48804E29"/>
    <w:rsid w:val="4EE46070"/>
    <w:rsid w:val="4FCF29B2"/>
    <w:rsid w:val="570E57DE"/>
    <w:rsid w:val="5CBB68A6"/>
    <w:rsid w:val="5F51536D"/>
    <w:rsid w:val="6385159F"/>
    <w:rsid w:val="667C0D74"/>
    <w:rsid w:val="6B0175EA"/>
    <w:rsid w:val="6BD9058D"/>
    <w:rsid w:val="72D905C1"/>
    <w:rsid w:val="7BD63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N" w:eastAsia="en-US" w:bidi="ar-SA"/>
    </w:rPr>
  </w:style>
  <w:style w:type="paragraph" w:styleId="2">
    <w:name w:val="heading 1"/>
    <w:basedOn w:val="1"/>
    <w:next w:val="1"/>
    <w:link w:val="11"/>
    <w:qFormat/>
    <w:uiPriority w:val="9"/>
    <w:pPr>
      <w:keepNext/>
      <w:keepLines/>
      <w:spacing w:before="240" w:after="0"/>
      <w:outlineLvl w:val="0"/>
    </w:pPr>
    <w:rPr>
      <w:rFonts w:asciiTheme="majorHAnsi" w:hAnsiTheme="majorHAnsi" w:eastAsiaTheme="majorEastAsia" w:cstheme="majorBidi"/>
      <w:color w:val="366091" w:themeColor="accent1" w:themeShade="BF"/>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semiHidden/>
    <w:unhideWhenUsed/>
    <w:uiPriority w:val="99"/>
    <w:pPr>
      <w:spacing w:after="0" w:line="240" w:lineRule="auto"/>
    </w:pPr>
    <w:rPr>
      <w:rFonts w:ascii="Tahoma" w:hAnsi="Tahoma" w:cs="Tahoma"/>
      <w:sz w:val="16"/>
      <w:szCs w:val="16"/>
    </w:rPr>
  </w:style>
  <w:style w:type="paragraph" w:styleId="6">
    <w:name w:val="footer"/>
    <w:basedOn w:val="1"/>
    <w:link w:val="17"/>
    <w:unhideWhenUsed/>
    <w:uiPriority w:val="99"/>
    <w:pPr>
      <w:tabs>
        <w:tab w:val="center" w:pos="4680"/>
        <w:tab w:val="right" w:pos="9360"/>
      </w:tabs>
      <w:spacing w:after="0" w:line="240" w:lineRule="auto"/>
    </w:pPr>
  </w:style>
  <w:style w:type="paragraph" w:styleId="7">
    <w:name w:val="header"/>
    <w:basedOn w:val="1"/>
    <w:link w:val="16"/>
    <w:semiHidden/>
    <w:unhideWhenUsed/>
    <w:qFormat/>
    <w:uiPriority w:val="99"/>
    <w:pPr>
      <w:tabs>
        <w:tab w:val="center" w:pos="4680"/>
        <w:tab w:val="right" w:pos="9360"/>
      </w:tabs>
      <w:spacing w:after="0" w:line="240" w:lineRule="auto"/>
    </w:pPr>
  </w:style>
  <w:style w:type="character" w:styleId="8">
    <w:name w:val="Hyperlink"/>
    <w:basedOn w:val="3"/>
    <w:unhideWhenUsed/>
    <w:qFormat/>
    <w:uiPriority w:val="99"/>
    <w:rPr>
      <w:color w:val="0000FF" w:themeColor="hyperlink"/>
      <w:u w:val="single"/>
    </w:rPr>
  </w:style>
  <w:style w:type="table" w:styleId="9">
    <w:name w:val="Table Grid"/>
    <w:basedOn w:val="4"/>
    <w:qFormat/>
    <w:uiPriority w:val="39"/>
    <w:rPr>
      <w:szCs w:val="22"/>
      <w:lang w:val="en-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toc 1"/>
    <w:basedOn w:val="1"/>
    <w:next w:val="1"/>
    <w:unhideWhenUsed/>
    <w:qFormat/>
    <w:uiPriority w:val="39"/>
    <w:pPr>
      <w:spacing w:after="100"/>
    </w:pPr>
  </w:style>
  <w:style w:type="character" w:customStyle="1" w:styleId="11">
    <w:name w:val="Heading 1 Char"/>
    <w:basedOn w:val="3"/>
    <w:link w:val="2"/>
    <w:qFormat/>
    <w:uiPriority w:val="9"/>
    <w:rPr>
      <w:rFonts w:asciiTheme="majorHAnsi" w:hAnsiTheme="majorHAnsi" w:eastAsiaTheme="majorEastAsia" w:cstheme="majorBidi"/>
      <w:color w:val="366091" w:themeColor="accent1" w:themeShade="BF"/>
      <w:sz w:val="32"/>
      <w:szCs w:val="32"/>
      <w:lang w:val="en-IN" w:bidi="ar-SA"/>
    </w:rPr>
  </w:style>
  <w:style w:type="paragraph" w:styleId="12">
    <w:name w:val="List Paragraph"/>
    <w:basedOn w:val="1"/>
    <w:qFormat/>
    <w:uiPriority w:val="34"/>
    <w:pPr>
      <w:ind w:left="720"/>
      <w:contextualSpacing/>
    </w:pPr>
  </w:style>
  <w:style w:type="paragraph" w:customStyle="1" w:styleId="13">
    <w:name w:val="Default"/>
    <w:qFormat/>
    <w:uiPriority w:val="0"/>
    <w:pPr>
      <w:autoSpaceDE w:val="0"/>
      <w:autoSpaceDN w:val="0"/>
      <w:adjustRightInd w:val="0"/>
    </w:pPr>
    <w:rPr>
      <w:rFonts w:ascii="Tahoma" w:hAnsi="Tahoma" w:cs="Tahoma" w:eastAsiaTheme="minorHAnsi"/>
      <w:color w:val="000000"/>
      <w:sz w:val="24"/>
      <w:szCs w:val="24"/>
      <w:lang w:val="en-US" w:eastAsia="en-US" w:bidi="mr-IN"/>
    </w:rPr>
  </w:style>
  <w:style w:type="paragraph" w:customStyle="1" w:styleId="14">
    <w:name w:val="TOC Heading1"/>
    <w:basedOn w:val="2"/>
    <w:next w:val="1"/>
    <w:semiHidden/>
    <w:unhideWhenUsed/>
    <w:qFormat/>
    <w:uiPriority w:val="39"/>
    <w:pPr>
      <w:spacing w:before="480" w:line="276" w:lineRule="auto"/>
      <w:outlineLvl w:val="9"/>
    </w:pPr>
    <w:rPr>
      <w:b/>
      <w:bCs/>
      <w:sz w:val="28"/>
      <w:szCs w:val="28"/>
      <w:lang w:val="en-US"/>
    </w:rPr>
  </w:style>
  <w:style w:type="character" w:customStyle="1" w:styleId="15">
    <w:name w:val="Balloon Text Char"/>
    <w:basedOn w:val="3"/>
    <w:link w:val="5"/>
    <w:semiHidden/>
    <w:qFormat/>
    <w:uiPriority w:val="99"/>
    <w:rPr>
      <w:rFonts w:ascii="Tahoma" w:hAnsi="Tahoma" w:cs="Tahoma"/>
      <w:sz w:val="16"/>
      <w:szCs w:val="16"/>
      <w:lang w:val="en-IN" w:bidi="ar-SA"/>
    </w:rPr>
  </w:style>
  <w:style w:type="character" w:customStyle="1" w:styleId="16">
    <w:name w:val="Header Char"/>
    <w:basedOn w:val="3"/>
    <w:link w:val="7"/>
    <w:semiHidden/>
    <w:qFormat/>
    <w:uiPriority w:val="99"/>
    <w:rPr>
      <w:szCs w:val="22"/>
      <w:lang w:val="en-IN" w:bidi="ar-SA"/>
    </w:rPr>
  </w:style>
  <w:style w:type="character" w:customStyle="1" w:styleId="17">
    <w:name w:val="Footer Char"/>
    <w:basedOn w:val="3"/>
    <w:link w:val="6"/>
    <w:qFormat/>
    <w:uiPriority w:val="99"/>
    <w:rPr>
      <w:szCs w:val="22"/>
      <w:lang w:val="en-I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3999F4-12D7-4367-9F2F-18E9EFA26A88}">
  <ds:schemaRefs/>
</ds:datastoreItem>
</file>

<file path=docProps/app.xml><?xml version="1.0" encoding="utf-8"?>
<Properties xmlns="http://schemas.openxmlformats.org/officeDocument/2006/extended-properties" xmlns:vt="http://schemas.openxmlformats.org/officeDocument/2006/docPropsVTypes">
  <Template>Normal</Template>
  <Pages>8</Pages>
  <Words>1378</Words>
  <Characters>7860</Characters>
  <Lines>65</Lines>
  <Paragraphs>18</Paragraphs>
  <TotalTime>0</TotalTime>
  <ScaleCrop>false</ScaleCrop>
  <LinksUpToDate>false</LinksUpToDate>
  <CharactersWithSpaces>9220</CharactersWithSpaces>
  <Application>WPS Office_11.2.0.10296_F1E327BC-269C-435d-A152-05C5408002CA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2021-01-29T06:42:00Z</dcterms:created>
  <dc:creator>admin</dc:creator>
  <cp:lastModifiedBy>HeadOffice</cp:lastModifiedBy>
  <cp:lastPrinted>2021-09-15T11:07:00Z</cp:lastPrinted>
  <dcterms:modified xsi:type="dcterms:W3CDTF">2021-09-17T07:51:39Z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0848B7CF739F4CF7A810D242C566A472</vt:lpwstr>
  </property>
</Properties>
</file>